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1F" w:rsidRPr="007C5168" w:rsidRDefault="00E877DE" w:rsidP="00C96243">
      <w:pPr>
        <w:pStyle w:val="a9"/>
        <w:spacing w:before="0" w:line="240" w:lineRule="atLeast"/>
        <w:rPr>
          <w:b/>
        </w:rPr>
      </w:pPr>
      <w:bookmarkStart w:id="0" w:name="_GoBack"/>
      <w:bookmarkEnd w:id="0"/>
      <w:r w:rsidRPr="007C5168">
        <w:rPr>
          <w:b/>
        </w:rPr>
        <w:t>ПОЯСНИТЕЛЬНАЯ ЗАПИСКА</w:t>
      </w:r>
    </w:p>
    <w:p w:rsidR="00C96243" w:rsidRPr="007C5168" w:rsidRDefault="00C96243" w:rsidP="00C96243">
      <w:pPr>
        <w:pStyle w:val="a9"/>
        <w:spacing w:before="0" w:line="120" w:lineRule="exact"/>
        <w:rPr>
          <w:b/>
        </w:rPr>
      </w:pPr>
    </w:p>
    <w:p w:rsidR="00AB4C1F" w:rsidRPr="007C5168" w:rsidRDefault="00E877DE" w:rsidP="00C96243">
      <w:pPr>
        <w:pStyle w:val="aa"/>
        <w:spacing w:before="0" w:line="240" w:lineRule="atLeast"/>
        <w:contextualSpacing/>
        <w:rPr>
          <w:rFonts w:ascii="Times New Roman" w:hAnsi="Times New Roman"/>
        </w:rPr>
      </w:pPr>
      <w:r w:rsidRPr="007C5168">
        <w:rPr>
          <w:rFonts w:ascii="Times New Roman" w:hAnsi="Times New Roman"/>
        </w:rPr>
        <w:t>к проекту федерального закона</w:t>
      </w:r>
      <w:r w:rsidR="00C96243" w:rsidRPr="007C5168">
        <w:rPr>
          <w:rFonts w:ascii="Times New Roman" w:hAnsi="Times New Roman"/>
        </w:rPr>
        <w:t xml:space="preserve"> </w:t>
      </w:r>
      <w:r w:rsidR="00E67845" w:rsidRPr="007C5168">
        <w:rPr>
          <w:rFonts w:ascii="Times New Roman" w:eastAsia="Calibri" w:hAnsi="Times New Roman"/>
        </w:rPr>
        <w:t>"</w:t>
      </w:r>
      <w:r w:rsidRPr="007C5168">
        <w:rPr>
          <w:rFonts w:ascii="Times New Roman" w:hAnsi="Times New Roman"/>
        </w:rPr>
        <w:t xml:space="preserve">О внесении изменений в части первую </w:t>
      </w:r>
      <w:r w:rsidR="00C96243" w:rsidRPr="007C5168">
        <w:rPr>
          <w:rFonts w:ascii="Times New Roman" w:hAnsi="Times New Roman"/>
        </w:rPr>
        <w:br/>
      </w:r>
      <w:r w:rsidRPr="007C5168">
        <w:rPr>
          <w:rFonts w:ascii="Times New Roman" w:hAnsi="Times New Roman"/>
        </w:rPr>
        <w:t>и вторую Налогового кодекса Российской Федерации и отдельные законодательные акты Российской Федерации</w:t>
      </w:r>
      <w:r w:rsidR="00E67845" w:rsidRPr="007C5168">
        <w:rPr>
          <w:rFonts w:ascii="Times New Roman" w:eastAsia="Calibri" w:hAnsi="Times New Roman"/>
        </w:rPr>
        <w:t>"</w:t>
      </w:r>
      <w:r w:rsidR="00A97EEE" w:rsidRPr="007C5168">
        <w:rPr>
          <w:rFonts w:ascii="Times New Roman" w:hAnsi="Times New Roman"/>
        </w:rPr>
        <w:t xml:space="preserve"> </w:t>
      </w:r>
    </w:p>
    <w:p w:rsidR="00C96243" w:rsidRPr="007C5168" w:rsidRDefault="00C96243" w:rsidP="00C96243">
      <w:pPr>
        <w:pStyle w:val="aa"/>
        <w:spacing w:before="0" w:line="240" w:lineRule="atLeast"/>
        <w:contextualSpacing/>
        <w:rPr>
          <w:rFonts w:ascii="Times New Roman" w:hAnsi="Times New Roman"/>
        </w:rPr>
      </w:pPr>
    </w:p>
    <w:p w:rsidR="00C96243" w:rsidRPr="007C5168" w:rsidRDefault="00C96243" w:rsidP="00C96243">
      <w:pPr>
        <w:pStyle w:val="aa"/>
        <w:spacing w:before="0" w:line="240" w:lineRule="atLeast"/>
        <w:contextualSpacing/>
        <w:rPr>
          <w:rFonts w:ascii="Times New Roman" w:hAnsi="Times New Roman"/>
        </w:rPr>
      </w:pPr>
    </w:p>
    <w:p w:rsidR="004069CB" w:rsidRPr="007C5168" w:rsidRDefault="00E877DE" w:rsidP="007C5168">
      <w:pPr>
        <w:ind w:firstLine="709"/>
        <w:contextualSpacing/>
        <w:rPr>
          <w:rFonts w:ascii="Times New Roman" w:hAnsi="Times New Roman"/>
          <w:szCs w:val="28"/>
        </w:rPr>
      </w:pPr>
      <w:r w:rsidRPr="007C5168">
        <w:rPr>
          <w:rFonts w:ascii="Times New Roman" w:eastAsia="Calibri" w:hAnsi="Times New Roman"/>
          <w:szCs w:val="28"/>
        </w:rPr>
        <w:t xml:space="preserve">Проект федерального закона </w:t>
      </w:r>
      <w:r w:rsidR="007C5168" w:rsidRPr="007C5168">
        <w:rPr>
          <w:rFonts w:ascii="Times New Roman" w:eastAsia="Calibri" w:hAnsi="Times New Roman"/>
          <w:szCs w:val="28"/>
        </w:rPr>
        <w:t>"</w:t>
      </w:r>
      <w:r w:rsidRPr="007C5168">
        <w:rPr>
          <w:rFonts w:ascii="Times New Roman" w:hAnsi="Times New Roman"/>
          <w:szCs w:val="28"/>
        </w:rPr>
        <w:t xml:space="preserve">О внесении изменений в части первую </w:t>
      </w:r>
      <w:r w:rsidR="007C5168" w:rsidRPr="007C5168">
        <w:rPr>
          <w:rFonts w:ascii="Times New Roman" w:hAnsi="Times New Roman"/>
          <w:szCs w:val="28"/>
        </w:rPr>
        <w:br/>
      </w:r>
      <w:r w:rsidRPr="007C5168">
        <w:rPr>
          <w:rFonts w:ascii="Times New Roman" w:hAnsi="Times New Roman"/>
          <w:szCs w:val="28"/>
        </w:rPr>
        <w:t>и вторую Налогового кодекса Российской Федерации и отдельные законодательные акты Российской Федерации</w:t>
      </w:r>
      <w:r w:rsidR="007C5168" w:rsidRPr="007C5168">
        <w:rPr>
          <w:rFonts w:ascii="Times New Roman" w:eastAsia="Calibri" w:hAnsi="Times New Roman"/>
          <w:szCs w:val="28"/>
        </w:rPr>
        <w:t>"</w:t>
      </w:r>
      <w:r w:rsidR="00E67845">
        <w:rPr>
          <w:rFonts w:ascii="Times New Roman" w:eastAsia="Calibri" w:hAnsi="Times New Roman"/>
          <w:szCs w:val="28"/>
        </w:rPr>
        <w:t xml:space="preserve"> </w:t>
      </w:r>
      <w:r w:rsidR="00E67845" w:rsidRPr="007C5168">
        <w:rPr>
          <w:rFonts w:ascii="Times New Roman" w:eastAsia="Calibri" w:hAnsi="Times New Roman"/>
          <w:szCs w:val="28"/>
        </w:rPr>
        <w:t xml:space="preserve">(далее </w:t>
      </w:r>
      <w:r w:rsidR="00E67845">
        <w:rPr>
          <w:rFonts w:ascii="Times New Roman" w:eastAsia="Calibri" w:hAnsi="Times New Roman"/>
          <w:szCs w:val="28"/>
        </w:rPr>
        <w:t>соответственно –</w:t>
      </w:r>
      <w:r w:rsidR="00E67845" w:rsidRPr="007C5168">
        <w:rPr>
          <w:rFonts w:ascii="Times New Roman" w:eastAsia="Calibri" w:hAnsi="Times New Roman"/>
          <w:szCs w:val="28"/>
        </w:rPr>
        <w:t xml:space="preserve"> законопроект</w:t>
      </w:r>
      <w:r w:rsidR="00E67845">
        <w:rPr>
          <w:rFonts w:ascii="Times New Roman" w:eastAsia="Calibri" w:hAnsi="Times New Roman"/>
          <w:szCs w:val="28"/>
        </w:rPr>
        <w:t>, Кодекс</w:t>
      </w:r>
      <w:r w:rsidR="00E67845" w:rsidRPr="007C5168">
        <w:rPr>
          <w:rFonts w:ascii="Times New Roman" w:eastAsia="Calibri" w:hAnsi="Times New Roman"/>
          <w:szCs w:val="28"/>
        </w:rPr>
        <w:t xml:space="preserve">) </w:t>
      </w:r>
      <w:r w:rsidRPr="007C5168">
        <w:rPr>
          <w:rFonts w:ascii="Times New Roman" w:eastAsia="Calibri" w:hAnsi="Times New Roman"/>
          <w:szCs w:val="28"/>
        </w:rPr>
        <w:t xml:space="preserve"> подготовлен во исполнение пункта 4 раздела </w:t>
      </w:r>
      <w:r w:rsidRPr="007C5168">
        <w:rPr>
          <w:rFonts w:ascii="Times New Roman" w:eastAsia="Calibri" w:hAnsi="Times New Roman"/>
          <w:szCs w:val="28"/>
          <w:lang w:val="en-US"/>
        </w:rPr>
        <w:t>I</w:t>
      </w:r>
      <w:r w:rsidRPr="007C5168">
        <w:rPr>
          <w:rFonts w:ascii="Times New Roman" w:eastAsia="Calibri" w:hAnsi="Times New Roman"/>
          <w:szCs w:val="28"/>
        </w:rPr>
        <w:t xml:space="preserve"> Плана законопроектной деятельности Правительства Российской Федерации, утвержденного распоряжением Правительства Российской Федерации от 23</w:t>
      </w:r>
      <w:r w:rsidR="007C5168" w:rsidRPr="007C5168">
        <w:rPr>
          <w:rFonts w:ascii="Times New Roman" w:eastAsia="Calibri" w:hAnsi="Times New Roman"/>
          <w:szCs w:val="28"/>
        </w:rPr>
        <w:t xml:space="preserve"> декабря </w:t>
      </w:r>
      <w:r w:rsidRPr="007C5168">
        <w:rPr>
          <w:rFonts w:ascii="Times New Roman" w:eastAsia="Calibri" w:hAnsi="Times New Roman"/>
          <w:szCs w:val="28"/>
        </w:rPr>
        <w:t>2024</w:t>
      </w:r>
      <w:r w:rsidR="007C5168" w:rsidRPr="007C5168">
        <w:rPr>
          <w:rFonts w:ascii="Times New Roman" w:eastAsia="Calibri" w:hAnsi="Times New Roman"/>
          <w:szCs w:val="28"/>
        </w:rPr>
        <w:t> г.</w:t>
      </w:r>
      <w:r w:rsidRPr="007C5168">
        <w:rPr>
          <w:rFonts w:ascii="Times New Roman" w:eastAsia="Calibri" w:hAnsi="Times New Roman"/>
          <w:szCs w:val="28"/>
        </w:rPr>
        <w:t xml:space="preserve"> № 3946-р, и направлен на реализацию</w:t>
      </w:r>
      <w:r w:rsidRPr="007C5168">
        <w:rPr>
          <w:rFonts w:ascii="Times New Roman" w:hAnsi="Times New Roman"/>
          <w:szCs w:val="28"/>
        </w:rPr>
        <w:t xml:space="preserve"> отдельных положений основных направлений бюджетной, налоговой и таможенно-тарифной политики Российской Федерации.</w:t>
      </w:r>
    </w:p>
    <w:p w:rsidR="004069CB" w:rsidRPr="007C5168" w:rsidRDefault="00E877DE" w:rsidP="007C5168">
      <w:pPr>
        <w:ind w:firstLine="709"/>
        <w:contextualSpacing/>
        <w:rPr>
          <w:rFonts w:ascii="Times New Roman" w:hAnsi="Times New Roman"/>
          <w:szCs w:val="28"/>
        </w:rPr>
      </w:pPr>
      <w:r w:rsidRPr="007C5168">
        <w:rPr>
          <w:rFonts w:ascii="Times New Roman" w:hAnsi="Times New Roman"/>
          <w:szCs w:val="28"/>
        </w:rPr>
        <w:t xml:space="preserve">Кроме того, в законопроекте учтены отдельные поручения Президента Российской Федерации и Правительства Российской Федерации. Также законопроектом вносятся изменения на основании правоприменительной практики и в целях приведения законодательства Российской Федерации </w:t>
      </w:r>
      <w:r w:rsidR="007C5168" w:rsidRPr="007C5168">
        <w:rPr>
          <w:rFonts w:ascii="Times New Roman" w:hAnsi="Times New Roman"/>
          <w:szCs w:val="28"/>
        </w:rPr>
        <w:br/>
      </w:r>
      <w:r w:rsidRPr="007C5168">
        <w:rPr>
          <w:rFonts w:ascii="Times New Roman" w:hAnsi="Times New Roman"/>
          <w:szCs w:val="28"/>
        </w:rPr>
        <w:t>о налогах и сборах в соответствие с законодательством Российской Федерации.</w:t>
      </w:r>
    </w:p>
    <w:p w:rsidR="004069CB" w:rsidRPr="007C5168" w:rsidRDefault="00E877DE" w:rsidP="007C5168">
      <w:pPr>
        <w:tabs>
          <w:tab w:val="left" w:pos="993"/>
        </w:tabs>
        <w:ind w:firstLine="709"/>
        <w:contextualSpacing/>
        <w:rPr>
          <w:rFonts w:ascii="Times New Roman" w:hAnsi="Times New Roman"/>
          <w:szCs w:val="28"/>
        </w:rPr>
      </w:pPr>
      <w:r w:rsidRPr="007C5168">
        <w:rPr>
          <w:rFonts w:ascii="Times New Roman" w:hAnsi="Times New Roman"/>
          <w:szCs w:val="28"/>
        </w:rPr>
        <w:t xml:space="preserve">В частности, законопроектом предлагаются следующие изменения. </w:t>
      </w:r>
    </w:p>
    <w:p w:rsidR="004069CB" w:rsidRPr="007C5168" w:rsidRDefault="00E877DE" w:rsidP="007C5168">
      <w:pPr>
        <w:pStyle w:val="ab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5168">
        <w:rPr>
          <w:rFonts w:ascii="Times New Roman" w:eastAsia="Calibri" w:hAnsi="Times New Roman" w:cs="Times New Roman"/>
          <w:b/>
          <w:sz w:val="28"/>
          <w:szCs w:val="28"/>
        </w:rPr>
        <w:t>В части налогового администрирования</w:t>
      </w:r>
    </w:p>
    <w:p w:rsidR="004069CB" w:rsidRPr="007C5168" w:rsidRDefault="00E877DE" w:rsidP="007C5168">
      <w:pPr>
        <w:pStyle w:val="ab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1. В целях повышения ликвидности бюджетов бюджетной системы Российской Федерации и сокращения рисков кассовых разрывов из-за растущих к концу месяца расходов предлагается установить днем окончания срока уплаты налогов предшествующий рабочий день, в случае, когда последний день срока уплаты налога приходится на день, признаваемый нерабочим днем.</w:t>
      </w:r>
    </w:p>
    <w:p w:rsidR="004069CB" w:rsidRPr="007C5168" w:rsidRDefault="00E877DE" w:rsidP="007C5168">
      <w:pPr>
        <w:pStyle w:val="ab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2. Предлагается ряд уточняющих положений, направленных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на совершенствование института единого налогового счета (далее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>-</w:t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 ЕНС),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в частности:</w:t>
      </w:r>
    </w:p>
    <w:p w:rsidR="004069CB" w:rsidRPr="007C5168" w:rsidRDefault="00E877DE" w:rsidP="007C5168">
      <w:pPr>
        <w:pStyle w:val="ab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2.1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>.</w:t>
      </w:r>
      <w:r w:rsidRPr="007C5168">
        <w:rPr>
          <w:rFonts w:ascii="Times New Roman" w:eastAsia="Calibri" w:hAnsi="Times New Roman" w:cs="Times New Roman"/>
          <w:sz w:val="28"/>
          <w:szCs w:val="28"/>
        </w:rPr>
        <w:t> </w:t>
      </w:r>
      <w:r w:rsidRPr="007C5168">
        <w:rPr>
          <w:rFonts w:ascii="Times New Roman" w:hAnsi="Times New Roman" w:cs="Times New Roman"/>
          <w:sz w:val="28"/>
          <w:szCs w:val="28"/>
        </w:rPr>
        <w:t xml:space="preserve">Уточнение порядка учета на ЕНС решения налогового органа </w:t>
      </w:r>
      <w:r w:rsidR="007C5168" w:rsidRPr="007C5168">
        <w:rPr>
          <w:rFonts w:ascii="Times New Roman" w:hAnsi="Times New Roman" w:cs="Times New Roman"/>
          <w:sz w:val="28"/>
          <w:szCs w:val="28"/>
        </w:rPr>
        <w:br/>
      </w:r>
      <w:r w:rsidRPr="007C5168">
        <w:rPr>
          <w:rFonts w:ascii="Times New Roman" w:hAnsi="Times New Roman" w:cs="Times New Roman"/>
          <w:sz w:val="28"/>
          <w:szCs w:val="28"/>
        </w:rPr>
        <w:t>о досрочном прекращении действия отсрочки или рассрочки.</w:t>
      </w:r>
    </w:p>
    <w:p w:rsidR="004069CB" w:rsidRPr="007C5168" w:rsidRDefault="00E877DE" w:rsidP="007C5168">
      <w:pPr>
        <w:pStyle w:val="ab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68">
        <w:rPr>
          <w:rFonts w:ascii="Times New Roman" w:hAnsi="Times New Roman" w:cs="Times New Roman"/>
          <w:sz w:val="28"/>
          <w:szCs w:val="28"/>
        </w:rPr>
        <w:t>2.2</w:t>
      </w:r>
      <w:r w:rsidR="007C5168" w:rsidRPr="007C5168">
        <w:rPr>
          <w:rFonts w:ascii="Times New Roman" w:hAnsi="Times New Roman" w:cs="Times New Roman"/>
          <w:sz w:val="28"/>
          <w:szCs w:val="28"/>
        </w:rPr>
        <w:t>.</w:t>
      </w:r>
      <w:r w:rsidRPr="007C5168">
        <w:rPr>
          <w:rFonts w:ascii="Times New Roman" w:hAnsi="Times New Roman" w:cs="Times New Roman"/>
          <w:sz w:val="28"/>
          <w:szCs w:val="28"/>
        </w:rPr>
        <w:t xml:space="preserve"> Уточнение порядка учета на ЕНС решения налогового органа </w:t>
      </w:r>
      <w:r w:rsidR="007C5168" w:rsidRPr="007C5168">
        <w:rPr>
          <w:rFonts w:ascii="Times New Roman" w:hAnsi="Times New Roman" w:cs="Times New Roman"/>
          <w:sz w:val="28"/>
          <w:szCs w:val="28"/>
        </w:rPr>
        <w:br/>
      </w:r>
      <w:r w:rsidRPr="007C5168">
        <w:rPr>
          <w:rFonts w:ascii="Times New Roman" w:hAnsi="Times New Roman" w:cs="Times New Roman"/>
          <w:sz w:val="28"/>
          <w:szCs w:val="28"/>
        </w:rPr>
        <w:t>об отмене (полностью или частично) решений о предоставлении налогового вычета полностью или частично.</w:t>
      </w:r>
    </w:p>
    <w:p w:rsidR="004069CB" w:rsidRPr="007C5168" w:rsidRDefault="00E877DE" w:rsidP="007C5168">
      <w:pPr>
        <w:pStyle w:val="ab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hAnsi="Times New Roman" w:cs="Times New Roman"/>
          <w:sz w:val="28"/>
          <w:szCs w:val="28"/>
        </w:rPr>
        <w:t>2.3</w:t>
      </w:r>
      <w:r w:rsidR="007C5168" w:rsidRPr="007C5168">
        <w:rPr>
          <w:rFonts w:ascii="Times New Roman" w:hAnsi="Times New Roman" w:cs="Times New Roman"/>
          <w:sz w:val="28"/>
          <w:szCs w:val="28"/>
        </w:rPr>
        <w:t>.</w:t>
      </w:r>
      <w:r w:rsidRPr="007C5168">
        <w:rPr>
          <w:rFonts w:ascii="Times New Roman" w:hAnsi="Times New Roman" w:cs="Times New Roman"/>
          <w:sz w:val="28"/>
          <w:szCs w:val="28"/>
        </w:rPr>
        <w:t xml:space="preserve"> Расширение нормы об исключении из сальдо ЕНС суммы, указанной </w:t>
      </w:r>
      <w:r w:rsidR="007C5168" w:rsidRPr="007C5168">
        <w:rPr>
          <w:rFonts w:ascii="Times New Roman" w:hAnsi="Times New Roman" w:cs="Times New Roman"/>
          <w:sz w:val="28"/>
          <w:szCs w:val="28"/>
        </w:rPr>
        <w:br/>
      </w:r>
      <w:r w:rsidRPr="007C5168">
        <w:rPr>
          <w:rFonts w:ascii="Times New Roman" w:hAnsi="Times New Roman" w:cs="Times New Roman"/>
          <w:sz w:val="28"/>
          <w:szCs w:val="28"/>
        </w:rPr>
        <w:t xml:space="preserve">в решении налогового органа о привлечении (отказе в привлечении) </w:t>
      </w:r>
      <w:r w:rsidR="007C5168" w:rsidRPr="007C5168">
        <w:rPr>
          <w:rFonts w:ascii="Times New Roman" w:hAnsi="Times New Roman" w:cs="Times New Roman"/>
          <w:sz w:val="28"/>
          <w:szCs w:val="28"/>
        </w:rPr>
        <w:br/>
      </w:r>
      <w:r w:rsidRPr="007C5168">
        <w:rPr>
          <w:rFonts w:ascii="Times New Roman" w:hAnsi="Times New Roman" w:cs="Times New Roman"/>
          <w:sz w:val="28"/>
          <w:szCs w:val="28"/>
        </w:rPr>
        <w:t xml:space="preserve">к ответственности, в случае принятия судом мер предварительной защиты </w:t>
      </w:r>
      <w:r w:rsidRPr="007C5168">
        <w:rPr>
          <w:rFonts w:ascii="Times New Roman" w:hAnsi="Times New Roman" w:cs="Times New Roman"/>
          <w:sz w:val="28"/>
          <w:szCs w:val="28"/>
        </w:rPr>
        <w:lastRenderedPageBreak/>
        <w:t>(приостановления действия такого решения налогового органа) по иску оспаривающего такое решение лица на иные акты налогового органа, содержащие указание на размер долга.</w:t>
      </w:r>
    </w:p>
    <w:p w:rsidR="004069CB" w:rsidRPr="007C5168" w:rsidRDefault="00E877DE" w:rsidP="007C5168">
      <w:pPr>
        <w:pStyle w:val="ab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3. Оптимизация количества направляемых плательщиками уведомлений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об исчисленных суммах налогов, авансовых платежей по налогам, сборов, страховых взносов за счет отмены их представления по имущественным налогам, а также за счет отмены обязанности их представления в части налога на доходы физических лиц (далее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>-</w:t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 НДФЛ) и страховых взносов в отношении тех периодов, по которым плательщик уже представил ранее такое уведомление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с планируемыми к уплате (перечислению) в эти периоды суммами НДФЛ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и страховых взносов.</w:t>
      </w:r>
    </w:p>
    <w:p w:rsidR="004069CB" w:rsidRPr="007C5168" w:rsidRDefault="00E877DE" w:rsidP="007C5168">
      <w:pPr>
        <w:pStyle w:val="ab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4. Совершенствование института изменения срока уплаты налоговых платежей, в частности:</w:t>
      </w:r>
    </w:p>
    <w:p w:rsidR="004069CB" w:rsidRPr="007C5168" w:rsidRDefault="00E877DE" w:rsidP="007C5168">
      <w:pPr>
        <w:pStyle w:val="ab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4.1. Расширение сферы применения отсрочек и рассрочек по уплате налоговых платежей для лиц, занятых сезонными видами деятельности,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не только на тех, чья деятельность останавливаются в силу природных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и климатических условий, но и на тех, чьи масштабы деятельности снижаются более чем на 50</w:t>
      </w:r>
      <w:r w:rsidR="00E67845">
        <w:rPr>
          <w:rFonts w:ascii="Times New Roman" w:eastAsia="Calibri" w:hAnsi="Times New Roman" w:cs="Times New Roman"/>
          <w:sz w:val="28"/>
          <w:szCs w:val="28"/>
        </w:rPr>
        <w:t xml:space="preserve"> процентов </w:t>
      </w:r>
      <w:r w:rsidRPr="007C5168">
        <w:rPr>
          <w:rFonts w:ascii="Times New Roman" w:eastAsia="Calibri" w:hAnsi="Times New Roman" w:cs="Times New Roman"/>
          <w:sz w:val="28"/>
          <w:szCs w:val="28"/>
        </w:rPr>
        <w:t>в силу природных климатических условий, а также падения спроса.</w:t>
      </w:r>
    </w:p>
    <w:p w:rsidR="004069CB" w:rsidRPr="007C5168" w:rsidRDefault="00E877DE" w:rsidP="007C5168">
      <w:pPr>
        <w:pStyle w:val="ab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4.2. Оптимизация количества представляемых документов для целей получения отсрочки или рассрочки.</w:t>
      </w:r>
    </w:p>
    <w:p w:rsidR="004069CB" w:rsidRPr="007C5168" w:rsidRDefault="00E877DE" w:rsidP="007C5168">
      <w:pPr>
        <w:pStyle w:val="ab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4.3. Увеличение предельно возможного срока инвестиционного налогового кредита с 5 до 10 лет.</w:t>
      </w:r>
    </w:p>
    <w:p w:rsidR="004069CB" w:rsidRPr="007C5168" w:rsidRDefault="00E877DE" w:rsidP="007C5168">
      <w:pPr>
        <w:pStyle w:val="ab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4.4. Сокращение количества обстоятельств, препятствующих представлению отсрочки, рассрочки или инвестиционного налогового кредита.</w:t>
      </w:r>
    </w:p>
    <w:p w:rsidR="004069CB" w:rsidRPr="007C5168" w:rsidRDefault="00E877DE" w:rsidP="007C5168">
      <w:pPr>
        <w:pStyle w:val="ab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5. Наделение налогового органа полномочием по аннулированию гарантии, представленной гарантом, в случае ее неиспользования.</w:t>
      </w:r>
    </w:p>
    <w:p w:rsidR="004069CB" w:rsidRPr="007C5168" w:rsidRDefault="00E877DE" w:rsidP="007C5168">
      <w:pPr>
        <w:pStyle w:val="ab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6. Продолжение перехода к электронной банковской гарантии. Исключение возможности представления банковской гарантии на бумажном носителе при представлении отсрочки/рассрочки.</w:t>
      </w:r>
    </w:p>
    <w:p w:rsidR="004069CB" w:rsidRPr="007C5168" w:rsidRDefault="00E877DE" w:rsidP="007C5168">
      <w:pPr>
        <w:pStyle w:val="ab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7. Дальнейшее совершенствование института налогового мониторинга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в части:</w:t>
      </w:r>
    </w:p>
    <w:p w:rsidR="004069CB" w:rsidRPr="007C5168" w:rsidRDefault="00E877DE" w:rsidP="007C5168">
      <w:pPr>
        <w:pStyle w:val="ab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расширения периметра налогового мониторинга за счет отмены обязательности соответствия кандидата в налоговый мониторинг трем установленным критериям (объем выручки, величина активов, размер уплаченных налогов) и оставление обязательности соответствия любому из этих трех, а также за счет отмены данных критериев для кандидата-правопреемника реорганизованного участника налогового мониторинга;</w:t>
      </w:r>
    </w:p>
    <w:p w:rsidR="004069CB" w:rsidRPr="007C5168" w:rsidRDefault="00E877DE" w:rsidP="007C5168">
      <w:pPr>
        <w:pStyle w:val="ab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 возможности осуществления должностному лицу налогового органа осмотра территорий и помещений, проведения выемки документов и предметов лица, в отношении которого проводится налоговый мониторинг, при выявлении фактов совершения им нарушений законодательства;</w:t>
      </w:r>
    </w:p>
    <w:p w:rsidR="004069CB" w:rsidRPr="007C5168" w:rsidRDefault="00E877DE" w:rsidP="007C5168">
      <w:pPr>
        <w:pStyle w:val="ab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создания условий для непрерывающегося осуществления налогового мониторинга, который начат в отношении реорганизованного участника налогового мониторинга и продолжается в отношении его правопреемника, при соответствующем согласии;</w:t>
      </w:r>
    </w:p>
    <w:p w:rsidR="004069CB" w:rsidRPr="007C5168" w:rsidRDefault="00E877DE" w:rsidP="007C5168">
      <w:pPr>
        <w:pStyle w:val="ab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увеличения глубины проведения налогового мониторинга с нынешней даты заключения соглашения о защите и поощрении капиталовложений вплоть до даты принятия решения об утверждении бюджета на капитальные расходы, принятия решения об осуществлении инвестиционного проекта;</w:t>
      </w:r>
    </w:p>
    <w:p w:rsidR="004069CB" w:rsidRPr="007C5168" w:rsidRDefault="00E877DE" w:rsidP="007C5168">
      <w:pPr>
        <w:pStyle w:val="ab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предоставления ФНС России права определять сроки получения доступа к информационным системам наблюдаемых организаций, порядок проведения проверки соответствия таких информационных систем предъявляемым к ним требованиям;</w:t>
      </w:r>
    </w:p>
    <w:p w:rsidR="004069CB" w:rsidRPr="007C5168" w:rsidRDefault="00E877DE" w:rsidP="007C5168">
      <w:pPr>
        <w:pStyle w:val="ab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отнесение к основаниям досрочного прекращения налогового мониторинга случаев систематического нарушения установленных порядка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и сроков доступа налогового органа к информационным системам организации, несоответствия регламента информационного взаимодействия организации,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ее информационных систем и применяемой ею системы внутреннего контроля установленным требованиям.</w:t>
      </w:r>
    </w:p>
    <w:p w:rsidR="004069CB" w:rsidRPr="007C5168" w:rsidRDefault="00E877DE" w:rsidP="007C5168">
      <w:pPr>
        <w:pStyle w:val="ab"/>
        <w:numPr>
          <w:ilvl w:val="0"/>
          <w:numId w:val="1"/>
        </w:numPr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5168">
        <w:rPr>
          <w:rFonts w:ascii="Times New Roman" w:eastAsia="Calibri" w:hAnsi="Times New Roman" w:cs="Times New Roman"/>
          <w:b/>
          <w:sz w:val="28"/>
          <w:szCs w:val="28"/>
        </w:rPr>
        <w:t>В части налога на добавленную стоимость</w:t>
      </w:r>
    </w:p>
    <w:p w:rsidR="004069CB" w:rsidRPr="007C5168" w:rsidRDefault="00E877DE" w:rsidP="007C5168">
      <w:pPr>
        <w:pStyle w:val="ad"/>
        <w:keepNext w:val="0"/>
        <w:keepLines w:val="0"/>
        <w:spacing w:line="360" w:lineRule="atLeast"/>
      </w:pPr>
      <w:r w:rsidRPr="007C5168">
        <w:t xml:space="preserve">1. В целях исключения неопределенности в вопросе применения налога </w:t>
      </w:r>
      <w:r w:rsidR="007C5168" w:rsidRPr="007C5168">
        <w:br/>
      </w:r>
      <w:r w:rsidRPr="007C5168">
        <w:t xml:space="preserve">на добавленную стоимость (далее </w:t>
      </w:r>
      <w:r w:rsidR="007C5168" w:rsidRPr="007C5168">
        <w:t>-</w:t>
      </w:r>
      <w:r w:rsidRPr="007C5168">
        <w:t xml:space="preserve"> НДС) при предоставлении российскими налогоплательщиками иностранным лицам майнинговой инфраструктуры </w:t>
      </w:r>
      <w:r w:rsidR="007C5168" w:rsidRPr="007C5168">
        <w:br/>
      </w:r>
      <w:r w:rsidRPr="007C5168">
        <w:t xml:space="preserve">для осуществления операций по майнингу цифровой валюты предлагается установить, что НДС подлежит исчислению российским налогоплательщиком при сдаче в аренду майнинговой инфраструктуры, а также при предоставлении </w:t>
      </w:r>
      <w:r w:rsidR="007C5168" w:rsidRPr="007C5168">
        <w:br/>
      </w:r>
      <w:r w:rsidRPr="007C5168">
        <w:t xml:space="preserve">в режиме реального времени вычислительной мощности для размещения информации в информационной системе для осуществления майнинговой деятельности. </w:t>
      </w:r>
    </w:p>
    <w:p w:rsidR="004069CB" w:rsidRPr="007C5168" w:rsidRDefault="00E877DE" w:rsidP="007C5168">
      <w:pPr>
        <w:pStyle w:val="ad"/>
        <w:keepNext w:val="0"/>
        <w:keepLines w:val="0"/>
        <w:spacing w:line="360" w:lineRule="atLeast"/>
      </w:pPr>
      <w:r w:rsidRPr="007C5168">
        <w:t xml:space="preserve">Кроме того, в отношении утилитарных цифровых прав устанавливается особый порядок исчисления НДС, согласно которому оплата, частичная оплата, получаемая налогоплательщиком по договору приобретения утилитарного цифрового права, заключенного с использованием инвестиционной платформы, приравнивается к получению налогоплательщиком оплаты, частичной оплаты </w:t>
      </w:r>
      <w:r w:rsidR="007C5168" w:rsidRPr="007C5168">
        <w:br/>
      </w:r>
      <w:r w:rsidRPr="007C5168">
        <w:lastRenderedPageBreak/>
        <w:t>в счет предстоящих поставок товаров (выполнения работ, оказания услуг, исключительных прав на результаты интеллектуальной деятельности и (или) прав использования результатов интеллектуальной деятельности), право требования передачи (выполнения, оказания) которых удостоверено этим цифровым правом.</w:t>
      </w:r>
    </w:p>
    <w:p w:rsidR="004069CB" w:rsidRPr="007C5168" w:rsidRDefault="00E877DE" w:rsidP="007C5168">
      <w:pPr>
        <w:tabs>
          <w:tab w:val="left" w:pos="993"/>
        </w:tabs>
        <w:ind w:firstLine="709"/>
        <w:contextualSpacing/>
        <w:rPr>
          <w:rFonts w:ascii="Times New Roman" w:eastAsia="Calibri" w:hAnsi="Times New Roman"/>
          <w:szCs w:val="28"/>
        </w:rPr>
      </w:pPr>
      <w:r w:rsidRPr="007C5168">
        <w:rPr>
          <w:rFonts w:ascii="Times New Roman" w:eastAsia="Calibri" w:hAnsi="Times New Roman"/>
          <w:szCs w:val="28"/>
        </w:rPr>
        <w:t xml:space="preserve">2. Установление налоговой ставки НДС в размере 0 процентов </w:t>
      </w:r>
      <w:r w:rsidR="007C5168">
        <w:rPr>
          <w:rFonts w:ascii="Times New Roman" w:eastAsia="Calibri" w:hAnsi="Times New Roman"/>
          <w:szCs w:val="28"/>
        </w:rPr>
        <w:br/>
      </w:r>
      <w:r w:rsidRPr="007C5168">
        <w:rPr>
          <w:rFonts w:ascii="Times New Roman" w:eastAsia="Calibri" w:hAnsi="Times New Roman"/>
          <w:szCs w:val="28"/>
        </w:rPr>
        <w:t>при реализации руды, концентратов и других промышленных продуктов, содержащих драгоценные металлы, налогоплательщиками, осуществляющими добычу драгоценных металлов, аффинажным организациям, имеющим право осуществлять аффинаж драгоценных металлов.</w:t>
      </w:r>
    </w:p>
    <w:p w:rsidR="004069CB" w:rsidRPr="007C5168" w:rsidRDefault="003B6F1E" w:rsidP="007C5168">
      <w:pPr>
        <w:tabs>
          <w:tab w:val="left" w:pos="993"/>
        </w:tabs>
        <w:ind w:firstLine="709"/>
        <w:contextualSpacing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3. </w:t>
      </w:r>
      <w:r w:rsidR="00E877DE" w:rsidRPr="007C5168">
        <w:rPr>
          <w:rFonts w:ascii="Times New Roman" w:eastAsia="Calibri" w:hAnsi="Times New Roman"/>
          <w:szCs w:val="28"/>
        </w:rPr>
        <w:t xml:space="preserve">Предусматривается возможность отказа от применения ставки НДС </w:t>
      </w:r>
      <w:r w:rsidR="007C5168" w:rsidRPr="007C5168">
        <w:rPr>
          <w:rFonts w:ascii="Times New Roman" w:eastAsia="Calibri" w:hAnsi="Times New Roman"/>
          <w:szCs w:val="28"/>
        </w:rPr>
        <w:br/>
      </w:r>
      <w:r w:rsidR="00E877DE" w:rsidRPr="007C5168">
        <w:rPr>
          <w:rFonts w:ascii="Times New Roman" w:eastAsia="Calibri" w:hAnsi="Times New Roman"/>
          <w:szCs w:val="28"/>
        </w:rPr>
        <w:t xml:space="preserve">в размере 0 процентов не только при экспорте товаров и работ (услуг), связанных с таким экспортом, но и в отношении работ (услуг), оказываемых </w:t>
      </w:r>
      <w:r w:rsidR="007C5168" w:rsidRPr="007C5168">
        <w:rPr>
          <w:rFonts w:ascii="Times New Roman" w:eastAsia="Calibri" w:hAnsi="Times New Roman"/>
          <w:szCs w:val="28"/>
        </w:rPr>
        <w:br/>
      </w:r>
      <w:r w:rsidR="00E877DE" w:rsidRPr="007C5168">
        <w:rPr>
          <w:rFonts w:ascii="Times New Roman" w:eastAsia="Calibri" w:hAnsi="Times New Roman"/>
          <w:szCs w:val="28"/>
        </w:rPr>
        <w:t>при международных перевозках импортируемых товаров, а также возможность отказа от применения ставки НДС в размере 0 процентов при осуществлении таких операций для налогоплат</w:t>
      </w:r>
      <w:r w:rsidR="00E67845">
        <w:rPr>
          <w:rFonts w:ascii="Times New Roman" w:eastAsia="Calibri" w:hAnsi="Times New Roman"/>
          <w:szCs w:val="28"/>
        </w:rPr>
        <w:t xml:space="preserve">ельщиков, применяющих ставки                                     5 или 7 </w:t>
      </w:r>
      <w:r w:rsidR="00E877DE" w:rsidRPr="007C5168">
        <w:rPr>
          <w:rFonts w:ascii="Times New Roman" w:eastAsia="Calibri" w:hAnsi="Times New Roman"/>
          <w:szCs w:val="28"/>
        </w:rPr>
        <w:t>процентов.</w:t>
      </w:r>
    </w:p>
    <w:p w:rsidR="004069CB" w:rsidRPr="007C5168" w:rsidRDefault="00E877DE" w:rsidP="007C5168">
      <w:pPr>
        <w:tabs>
          <w:tab w:val="left" w:pos="993"/>
        </w:tabs>
        <w:ind w:firstLine="709"/>
        <w:contextualSpacing/>
        <w:rPr>
          <w:rFonts w:ascii="Times New Roman" w:eastAsia="Calibri" w:hAnsi="Times New Roman"/>
          <w:szCs w:val="28"/>
        </w:rPr>
      </w:pPr>
      <w:r w:rsidRPr="007C5168">
        <w:rPr>
          <w:rFonts w:ascii="Times New Roman" w:eastAsia="Calibri" w:hAnsi="Times New Roman"/>
          <w:szCs w:val="28"/>
        </w:rPr>
        <w:t>4. </w:t>
      </w:r>
      <w:r w:rsidR="00156600">
        <w:rPr>
          <w:rFonts w:ascii="Times New Roman" w:eastAsia="Calibri" w:hAnsi="Times New Roman"/>
          <w:szCs w:val="28"/>
        </w:rPr>
        <w:t xml:space="preserve">Также в рамках мер по обеспечению сбалансированности бюджета предусматривается </w:t>
      </w:r>
      <w:r w:rsidRPr="007C5168">
        <w:rPr>
          <w:rFonts w:ascii="Times New Roman" w:eastAsia="Calibri" w:hAnsi="Times New Roman"/>
          <w:szCs w:val="28"/>
        </w:rPr>
        <w:t xml:space="preserve">повышение размера </w:t>
      </w:r>
      <w:r w:rsidR="00156600">
        <w:rPr>
          <w:rFonts w:ascii="Times New Roman" w:eastAsia="Calibri" w:hAnsi="Times New Roman"/>
          <w:szCs w:val="28"/>
        </w:rPr>
        <w:t>ставки НДС с 20 до 22 процентов.</w:t>
      </w:r>
    </w:p>
    <w:p w:rsidR="00156600" w:rsidRDefault="00156600" w:rsidP="00156600">
      <w:pPr>
        <w:tabs>
          <w:tab w:val="left" w:pos="993"/>
        </w:tabs>
        <w:ind w:firstLine="709"/>
        <w:contextualSpacing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При этом с целью пресечения схем дробления предусматривается </w:t>
      </w:r>
      <w:r w:rsidR="00E877DE" w:rsidRPr="007C5168">
        <w:rPr>
          <w:rFonts w:ascii="Times New Roman" w:eastAsia="Calibri" w:hAnsi="Times New Roman"/>
          <w:szCs w:val="28"/>
        </w:rPr>
        <w:t>сокращение предельного размера доходов с 60 до 10 миллионов рублей</w:t>
      </w:r>
      <w:r>
        <w:rPr>
          <w:rFonts w:ascii="Times New Roman" w:eastAsia="Calibri" w:hAnsi="Times New Roman"/>
          <w:szCs w:val="28"/>
        </w:rPr>
        <w:t>.</w:t>
      </w:r>
    </w:p>
    <w:p w:rsidR="004069CB" w:rsidRPr="007C5168" w:rsidRDefault="00156600" w:rsidP="007C5168">
      <w:pPr>
        <w:tabs>
          <w:tab w:val="left" w:pos="993"/>
        </w:tabs>
        <w:ind w:firstLine="709"/>
        <w:contextualSpacing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В</w:t>
      </w:r>
      <w:r w:rsidR="00E877DE" w:rsidRPr="007C5168">
        <w:rPr>
          <w:rFonts w:ascii="Times New Roman" w:eastAsia="Calibri" w:hAnsi="Times New Roman"/>
          <w:szCs w:val="28"/>
        </w:rPr>
        <w:t xml:space="preserve"> целях освобождения от исполнения обязанностей налогоплательщика, связанных с исчислением и уплатой НДС для налогоплательщиков, применяющих упр</w:t>
      </w:r>
      <w:r>
        <w:rPr>
          <w:rFonts w:ascii="Times New Roman" w:eastAsia="Calibri" w:hAnsi="Times New Roman"/>
          <w:szCs w:val="28"/>
        </w:rPr>
        <w:t xml:space="preserve">ощенную систему налогообложения </w:t>
      </w:r>
      <w:r w:rsidR="00E877DE" w:rsidRPr="007C5168">
        <w:rPr>
          <w:rFonts w:ascii="Times New Roman" w:eastAsia="Calibri" w:hAnsi="Times New Roman"/>
          <w:szCs w:val="28"/>
        </w:rPr>
        <w:t>сокращение перечня операций, освобождаемых от налогообложения НДС.</w:t>
      </w:r>
    </w:p>
    <w:p w:rsidR="004069CB" w:rsidRPr="007C5168" w:rsidRDefault="00E877DE" w:rsidP="007C5168">
      <w:pPr>
        <w:pStyle w:val="ab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5168">
        <w:rPr>
          <w:rFonts w:ascii="Times New Roman" w:eastAsia="Calibri" w:hAnsi="Times New Roman" w:cs="Times New Roman"/>
          <w:b/>
          <w:sz w:val="28"/>
          <w:szCs w:val="28"/>
        </w:rPr>
        <w:t>Акцизы</w:t>
      </w:r>
    </w:p>
    <w:p w:rsidR="004069CB" w:rsidRPr="007C5168" w:rsidRDefault="00E877DE" w:rsidP="007C5168">
      <w:pPr>
        <w:pStyle w:val="ab"/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1. Предусмотрена индексация ставок акцизов на 2026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>-</w:t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 2027 гг. на уровень инфляции, а также сверх уровня инфляции на этиловый спирт, винодельческую и алкогольную продукцию, спиртосодержащую продукцию, табачную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и никотинсодержащую продукцию, сахаросодержащие напитки. Установлены ставки акцизов на 2028 год. Соответственно уточнены и определены параметры налоговых вычетов сумм акцизов в отношении винодельческой продукции.</w:t>
      </w:r>
    </w:p>
    <w:p w:rsidR="004069CB" w:rsidRPr="007C5168" w:rsidRDefault="00E877DE" w:rsidP="007C5168">
      <w:pPr>
        <w:pStyle w:val="ab"/>
        <w:tabs>
          <w:tab w:val="left" w:pos="993"/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2. Установлены на 2028 год условное значение средней оптовой цены реализации авиационного керосина, а также условные значения оптовой цены реализации автомобильного бензина и дизельного топлива.</w:t>
      </w:r>
    </w:p>
    <w:p w:rsidR="004069CB" w:rsidRPr="007C5168" w:rsidRDefault="00E877DE" w:rsidP="007C5168">
      <w:pPr>
        <w:pStyle w:val="ab"/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68">
        <w:rPr>
          <w:rFonts w:ascii="Times New Roman" w:hAnsi="Times New Roman" w:cs="Times New Roman"/>
          <w:sz w:val="28"/>
          <w:szCs w:val="28"/>
        </w:rPr>
        <w:t xml:space="preserve">3. Уточнены параметры допустимого отклонения фактических оптовых цен внутреннего рынка моторного топлива от их установленных значений </w:t>
      </w:r>
      <w:r w:rsidR="007C5168" w:rsidRPr="007C5168">
        <w:rPr>
          <w:rFonts w:ascii="Times New Roman" w:hAnsi="Times New Roman" w:cs="Times New Roman"/>
          <w:sz w:val="28"/>
          <w:szCs w:val="28"/>
        </w:rPr>
        <w:br/>
      </w:r>
      <w:r w:rsidRPr="007C5168">
        <w:rPr>
          <w:rFonts w:ascii="Times New Roman" w:hAnsi="Times New Roman" w:cs="Times New Roman"/>
          <w:sz w:val="28"/>
          <w:szCs w:val="28"/>
        </w:rPr>
        <w:t>в целях определения демпфирующей составляющей.</w:t>
      </w:r>
    </w:p>
    <w:p w:rsidR="004069CB" w:rsidRPr="007C5168" w:rsidRDefault="00E877DE" w:rsidP="007C5168">
      <w:pPr>
        <w:pStyle w:val="ab"/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 Отменена обязанность по уплате авансового платежа акциза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по алкогольной и (или) спиртосодержащей продукции производителями такой продукции.</w:t>
      </w:r>
    </w:p>
    <w:p w:rsidR="004069CB" w:rsidRPr="007C5168" w:rsidRDefault="00E877DE" w:rsidP="007C5168">
      <w:pPr>
        <w:pStyle w:val="ab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168">
        <w:rPr>
          <w:rFonts w:ascii="Times New Roman" w:hAnsi="Times New Roman" w:cs="Times New Roman"/>
          <w:sz w:val="28"/>
          <w:szCs w:val="28"/>
        </w:rPr>
        <w:t xml:space="preserve">5. Предусмотрена </w:t>
      </w:r>
      <w:r w:rsidRPr="007C5168">
        <w:rPr>
          <w:rFonts w:ascii="Times New Roman" w:eastAsia="Calibri" w:hAnsi="Times New Roman" w:cs="Times New Roman"/>
          <w:sz w:val="28"/>
          <w:szCs w:val="28"/>
        </w:rPr>
        <w:t>корректировка определения показателя Ц</w:t>
      </w:r>
      <w:r w:rsidRPr="007C5168">
        <w:rPr>
          <w:rFonts w:ascii="Times New Roman" w:eastAsia="Calibri" w:hAnsi="Times New Roman" w:cs="Times New Roman"/>
          <w:sz w:val="28"/>
          <w:szCs w:val="28"/>
          <w:vertAlign w:val="subscript"/>
        </w:rPr>
        <w:t>нефть</w:t>
      </w:r>
      <w:r w:rsidRPr="007C5168">
        <w:rPr>
          <w:rFonts w:ascii="Times New Roman" w:eastAsia="Calibri" w:hAnsi="Times New Roman" w:cs="Times New Roman"/>
          <w:sz w:val="28"/>
          <w:szCs w:val="28"/>
          <w:vertAlign w:val="subscript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и показателя Ц в связи с</w:t>
      </w:r>
      <w:r w:rsidRPr="007C5168">
        <w:rPr>
          <w:rFonts w:ascii="Times New Roman" w:hAnsi="Times New Roman" w:cs="Times New Roman"/>
          <w:sz w:val="28"/>
          <w:szCs w:val="28"/>
        </w:rPr>
        <w:t xml:space="preserve"> </w:t>
      </w:r>
      <w:r w:rsidRPr="007C5168">
        <w:rPr>
          <w:rFonts w:ascii="Times New Roman" w:eastAsia="Calibri" w:hAnsi="Times New Roman" w:cs="Times New Roman"/>
          <w:sz w:val="28"/>
          <w:szCs w:val="28"/>
        </w:rPr>
        <w:t>изменением порядка расчета цены на российскую нефть.</w:t>
      </w:r>
    </w:p>
    <w:p w:rsidR="004069CB" w:rsidRPr="007C5168" w:rsidRDefault="00E877DE" w:rsidP="007C5168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5168">
        <w:rPr>
          <w:rFonts w:ascii="Times New Roman" w:eastAsia="Calibri" w:hAnsi="Times New Roman" w:cs="Times New Roman"/>
          <w:b/>
          <w:sz w:val="28"/>
          <w:szCs w:val="28"/>
        </w:rPr>
        <w:t>В части налога на доходы физических лиц</w:t>
      </w:r>
    </w:p>
    <w:p w:rsidR="004069CB" w:rsidRPr="007C5168" w:rsidRDefault="00E877DE" w:rsidP="007C5168">
      <w:pPr>
        <w:pStyle w:val="ab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1. Установление освобождения от налогообложения доходов в виде возмещения виновным лицом стоимости утраченного имущества в случаях, предусмотренных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самоуправления.</w:t>
      </w:r>
    </w:p>
    <w:p w:rsidR="004069CB" w:rsidRPr="007C5168" w:rsidRDefault="00E877DE" w:rsidP="007C5168">
      <w:pPr>
        <w:pStyle w:val="ab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2. Уточнение порядка применения сведений о кадастровой стоимости объекта недвижимого имущества, в случае образования такого объекта недвижимости в течение налогового периода и внесении в Единый государственный реестр недвижимости сведений о кадастровой стоимости позднее даты постановки объекта на государственный кадастровый учет.</w:t>
      </w:r>
    </w:p>
    <w:p w:rsidR="004069CB" w:rsidRPr="007C5168" w:rsidRDefault="00E877DE" w:rsidP="007C5168">
      <w:pPr>
        <w:pStyle w:val="ab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3. Дополнение перечня расходов, связанных со служебной командировкой, оплачиваемых в пользу налогоплательщика (компенсируемых налогоплательщику) и освобождаемых от налогообложения.</w:t>
      </w:r>
    </w:p>
    <w:p w:rsidR="004069CB" w:rsidRPr="007C5168" w:rsidRDefault="00E877DE" w:rsidP="007C5168">
      <w:pPr>
        <w:pStyle w:val="ab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4. Установление единых условий для налоговой льготы в виде освобождения от налогообложения доходов от реализации находящихся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в собственности налогоплательщика более пяти лет долей участия в уставном капитале российских организаций и акций российских организаций.</w:t>
      </w:r>
    </w:p>
    <w:p w:rsidR="004069CB" w:rsidRPr="007C5168" w:rsidRDefault="00E877DE" w:rsidP="007C5168">
      <w:pPr>
        <w:pStyle w:val="ab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5. Уточнение перечня видов имущества и имущественных прав, при дарении которых доход в виде такого дара освобождается от налогообложения только, если даритель и одаряемый являются членами семьи и (или) близкими родственниками.</w:t>
      </w:r>
    </w:p>
    <w:p w:rsidR="004069CB" w:rsidRPr="007C5168" w:rsidRDefault="00E877DE" w:rsidP="007C5168">
      <w:pPr>
        <w:pStyle w:val="ab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6. В целях совершенствования условий применения стандартного налогового вычета на детей и налогового администрирования предлагается уточнить, что при определении дохода налогоплательщика, исчисленного нарастающим итогом с начала налогового периода, учитываются только доходы, относящиеся к основной налоговой базе.</w:t>
      </w:r>
    </w:p>
    <w:p w:rsidR="004069CB" w:rsidRPr="007C5168" w:rsidRDefault="00E877DE" w:rsidP="007C5168">
      <w:pPr>
        <w:pStyle w:val="ab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7. Расширение сферы применения налоговой льготы, установленной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для семей с детьми в отношении дохода от продажи жилого помещения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при улучшении жилищных условий: льгота применяется не только для семей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с несовершеннолетними детьми, но также для семей с детьми, признанными судом недееспособными, вне зависимости от их возраста.</w:t>
      </w:r>
    </w:p>
    <w:p w:rsidR="004069CB" w:rsidRPr="007C5168" w:rsidRDefault="00E877DE" w:rsidP="007C5168">
      <w:pPr>
        <w:pStyle w:val="ab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Также добавляется уточнение о соблюдении условия о наличии в семье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не менее двух детей в том числе, если ребенок родился после продажи жилья,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но до 30 апреля следующего года.</w:t>
      </w:r>
    </w:p>
    <w:p w:rsidR="004069CB" w:rsidRPr="007C5168" w:rsidRDefault="00E877DE" w:rsidP="007C5168">
      <w:pPr>
        <w:pStyle w:val="ab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8. Установление порядка определения расходов на приобретение доли участия в уставном капитале общества в случае, если доля участия приобретена налогоплательщиком в результате реорганизации другой организации.</w:t>
      </w:r>
    </w:p>
    <w:p w:rsidR="004069CB" w:rsidRPr="007C5168" w:rsidRDefault="00E877DE" w:rsidP="007C5168">
      <w:pPr>
        <w:pStyle w:val="ab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9. Уточнение порядка учета в целях налогообложения расходов </w:t>
      </w:r>
      <w:r w:rsid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при продаже имущества, стоимость которого при приобретении налогоплательщиком включалась в налогооблагаемый доход налогоплательщика.</w:t>
      </w:r>
    </w:p>
    <w:p w:rsidR="004069CB" w:rsidRPr="007C5168" w:rsidRDefault="00E877DE" w:rsidP="007C5168">
      <w:pPr>
        <w:pStyle w:val="ab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10. Распространение на налогоплательщика требования самостоятельного декларирования и уплаты налога не только при неудержании налога налоговым агентом, но также и при частичном неудержании налога налоговым агентом.</w:t>
      </w:r>
    </w:p>
    <w:p w:rsidR="004069CB" w:rsidRPr="007C5168" w:rsidRDefault="00E877DE" w:rsidP="007C5168">
      <w:pPr>
        <w:pStyle w:val="ab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11. Предусмотреть, что в отношении доходов в виде выигрышей, полученных участниками азартных игр, проводимых в букмекерской конторе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и тотализаторе, сумма налога исчисляется налоговым агентом отдельно</w:t>
      </w:r>
      <w:r w:rsid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по каждой сумме выигрыша вне зависимости от его размера.</w:t>
      </w:r>
    </w:p>
    <w:p w:rsidR="004069CB" w:rsidRPr="007C5168" w:rsidRDefault="00E877DE" w:rsidP="007C5168">
      <w:pPr>
        <w:pStyle w:val="ab"/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12. Введение ограничений на использование налоговых преференций для налогоплательщиков, имеющих статус иностранных агентов.</w:t>
      </w:r>
    </w:p>
    <w:p w:rsidR="004069CB" w:rsidRPr="007C5168" w:rsidRDefault="00E877DE" w:rsidP="007C5168">
      <w:pPr>
        <w:pStyle w:val="ab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5168">
        <w:rPr>
          <w:rFonts w:ascii="Times New Roman" w:eastAsia="Calibri" w:hAnsi="Times New Roman" w:cs="Times New Roman"/>
          <w:b/>
          <w:sz w:val="28"/>
          <w:szCs w:val="28"/>
        </w:rPr>
        <w:t>В части налога на прибыль организаций</w:t>
      </w:r>
    </w:p>
    <w:p w:rsidR="004069CB" w:rsidRPr="007C5168" w:rsidRDefault="00E877DE" w:rsidP="007C5168">
      <w:pPr>
        <w:pStyle w:val="ad"/>
        <w:keepNext w:val="0"/>
        <w:keepLines w:val="0"/>
        <w:tabs>
          <w:tab w:val="center" w:pos="4677"/>
          <w:tab w:val="right" w:pos="9355"/>
        </w:tabs>
        <w:spacing w:line="360" w:lineRule="atLeast"/>
        <w:rPr>
          <w:rFonts w:eastAsia="Times New Roman"/>
          <w:lang w:eastAsia="ru-RU"/>
        </w:rPr>
      </w:pPr>
      <w:r w:rsidRPr="007C5168">
        <w:rPr>
          <w:rFonts w:eastAsia="Times New Roman"/>
          <w:lang w:eastAsia="ru-RU"/>
        </w:rPr>
        <w:t>1. Предусмотреть безналоговые последствия безвозмездного получения имущества (имущественных прав), результатов работ (услуг), когда обязанность такого получения предусмотрена не только законодательством Российской Федерации непосредственно, но и законодательством субъектов Российской Федерации и актами Правительства Российской Федерации в рамках соответствующих полномочий.</w:t>
      </w:r>
    </w:p>
    <w:p w:rsidR="004069CB" w:rsidRPr="007C5168" w:rsidRDefault="00E877DE" w:rsidP="007C5168">
      <w:pPr>
        <w:pStyle w:val="ad"/>
        <w:keepNext w:val="0"/>
        <w:keepLines w:val="0"/>
        <w:tabs>
          <w:tab w:val="center" w:pos="4677"/>
          <w:tab w:val="right" w:pos="9355"/>
        </w:tabs>
        <w:spacing w:line="360" w:lineRule="atLeast"/>
        <w:rPr>
          <w:rFonts w:eastAsia="Times New Roman"/>
          <w:lang w:eastAsia="ru-RU"/>
        </w:rPr>
      </w:pPr>
      <w:r w:rsidRPr="007C5168">
        <w:rPr>
          <w:rFonts w:eastAsia="Times New Roman"/>
          <w:lang w:eastAsia="ru-RU"/>
        </w:rPr>
        <w:t xml:space="preserve">2. С целью исключения противоречий из перечня имущества, </w:t>
      </w:r>
      <w:r w:rsidR="007C5168" w:rsidRPr="007C5168">
        <w:rPr>
          <w:rFonts w:eastAsia="Times New Roman"/>
          <w:lang w:eastAsia="ru-RU"/>
        </w:rPr>
        <w:br/>
      </w:r>
      <w:r w:rsidRPr="007C5168">
        <w:rPr>
          <w:rFonts w:eastAsia="Times New Roman"/>
          <w:lang w:eastAsia="ru-RU"/>
        </w:rPr>
        <w:t xml:space="preserve">не подлежащего амортизации, исключается имущество, приобретенное (созданное) за счет бюджетных средств целевого финансирования, учитывая, </w:t>
      </w:r>
      <w:r w:rsidR="007C5168" w:rsidRPr="007C5168">
        <w:rPr>
          <w:rFonts w:eastAsia="Times New Roman"/>
          <w:lang w:eastAsia="ru-RU"/>
        </w:rPr>
        <w:br/>
      </w:r>
      <w:r w:rsidRPr="007C5168">
        <w:rPr>
          <w:rFonts w:eastAsia="Times New Roman"/>
          <w:lang w:eastAsia="ru-RU"/>
        </w:rPr>
        <w:t>что расходы, осуществленные за счет бюджетных средств целевого финансирования, не учитываются при формировании первоначальной стоимости.</w:t>
      </w:r>
    </w:p>
    <w:p w:rsidR="004069CB" w:rsidRPr="007C5168" w:rsidRDefault="00E877DE" w:rsidP="007C5168">
      <w:pPr>
        <w:pStyle w:val="ad"/>
        <w:keepNext w:val="0"/>
        <w:keepLines w:val="0"/>
        <w:tabs>
          <w:tab w:val="center" w:pos="4677"/>
          <w:tab w:val="right" w:pos="9355"/>
        </w:tabs>
        <w:spacing w:line="360" w:lineRule="atLeast"/>
        <w:rPr>
          <w:rFonts w:eastAsia="Times New Roman"/>
          <w:lang w:eastAsia="ru-RU"/>
        </w:rPr>
      </w:pPr>
      <w:r w:rsidRPr="007C5168">
        <w:rPr>
          <w:rFonts w:eastAsia="Times New Roman"/>
          <w:lang w:eastAsia="ru-RU"/>
        </w:rPr>
        <w:t xml:space="preserve">3. В целях исключения многократного использования коэффициента 2 </w:t>
      </w:r>
      <w:r w:rsidR="007C5168" w:rsidRPr="007C5168">
        <w:rPr>
          <w:rFonts w:eastAsia="Times New Roman"/>
          <w:lang w:eastAsia="ru-RU"/>
        </w:rPr>
        <w:br/>
      </w:r>
      <w:r w:rsidRPr="007C5168">
        <w:rPr>
          <w:rFonts w:eastAsia="Times New Roman"/>
          <w:lang w:eastAsia="ru-RU"/>
        </w:rPr>
        <w:t xml:space="preserve">к расходам на приобретение права на использование программ для электронных вычислительных машин и баз данных, программно-аппаратных комплексов </w:t>
      </w:r>
      <w:r w:rsidR="007C5168" w:rsidRPr="007C5168">
        <w:rPr>
          <w:rFonts w:eastAsia="Times New Roman"/>
          <w:lang w:eastAsia="ru-RU"/>
        </w:rPr>
        <w:br/>
      </w:r>
      <w:r w:rsidRPr="007C5168">
        <w:rPr>
          <w:rFonts w:eastAsia="Times New Roman"/>
          <w:lang w:eastAsia="ru-RU"/>
        </w:rPr>
        <w:t>по лицензионным и сублицензионным соглашениям в рамках одной цепочки получателей (лицензиатов), предлагается уточнить правила применения повышающего коэффициента.</w:t>
      </w:r>
    </w:p>
    <w:p w:rsidR="004069CB" w:rsidRPr="007C5168" w:rsidRDefault="00E877DE" w:rsidP="007C5168">
      <w:pPr>
        <w:pStyle w:val="ad"/>
        <w:keepNext w:val="0"/>
        <w:keepLines w:val="0"/>
        <w:tabs>
          <w:tab w:val="center" w:pos="4677"/>
          <w:tab w:val="right" w:pos="9355"/>
        </w:tabs>
        <w:spacing w:line="360" w:lineRule="atLeast"/>
        <w:rPr>
          <w:rFonts w:eastAsia="Times New Roman"/>
          <w:lang w:eastAsia="ru-RU"/>
        </w:rPr>
      </w:pPr>
      <w:r w:rsidRPr="007C5168">
        <w:rPr>
          <w:rFonts w:eastAsia="Times New Roman"/>
          <w:lang w:eastAsia="ru-RU"/>
        </w:rPr>
        <w:lastRenderedPageBreak/>
        <w:t xml:space="preserve">4. Установление возможности учета в составе безнадежных долгов приобретенных по номиналу налогоплательщиком (новым гарантирующим поставщиком) права требования (к предыдущему гарантирующему поставщику) как условие осуществления деятельности (гарантирующего поставщика) </w:t>
      </w:r>
      <w:r w:rsidR="007C5168" w:rsidRPr="007C5168">
        <w:rPr>
          <w:rFonts w:eastAsia="Times New Roman"/>
          <w:lang w:eastAsia="ru-RU"/>
        </w:rPr>
        <w:br/>
      </w:r>
      <w:r w:rsidRPr="007C5168">
        <w:rPr>
          <w:rFonts w:eastAsia="Times New Roman"/>
          <w:lang w:eastAsia="ru-RU"/>
        </w:rPr>
        <w:t>в соответствии с законодательством Российской Федерации, а также приобретенные профессиональной коллекторской организацией права требования по тем кредитным обязательствам, которые соответствуют основаниям для признания их безнадежными.</w:t>
      </w:r>
    </w:p>
    <w:p w:rsidR="004069CB" w:rsidRPr="007C5168" w:rsidRDefault="00E877DE" w:rsidP="007C5168">
      <w:pPr>
        <w:pStyle w:val="ad"/>
        <w:keepNext w:val="0"/>
        <w:keepLines w:val="0"/>
        <w:tabs>
          <w:tab w:val="center" w:pos="4677"/>
          <w:tab w:val="right" w:pos="9355"/>
        </w:tabs>
        <w:spacing w:line="360" w:lineRule="atLeast"/>
        <w:rPr>
          <w:rFonts w:eastAsia="Times New Roman"/>
          <w:lang w:eastAsia="ru-RU"/>
        </w:rPr>
      </w:pPr>
      <w:r w:rsidRPr="007C5168">
        <w:rPr>
          <w:rFonts w:eastAsia="Times New Roman"/>
          <w:lang w:eastAsia="ru-RU"/>
        </w:rPr>
        <w:t xml:space="preserve">5. Установление единообразного подхода к формированию стоимости имущества, полученного государственными корпорациями в качестве взноса как от Российской Федерации, так от Банка России, который также наделен </w:t>
      </w:r>
      <w:r w:rsidR="007C5168" w:rsidRPr="007C5168">
        <w:rPr>
          <w:rFonts w:eastAsia="Times New Roman"/>
          <w:lang w:eastAsia="ru-RU"/>
        </w:rPr>
        <w:br/>
      </w:r>
      <w:r w:rsidRPr="007C5168">
        <w:rPr>
          <w:rFonts w:eastAsia="Times New Roman"/>
          <w:lang w:eastAsia="ru-RU"/>
        </w:rPr>
        <w:t>в настоящее время соответствующим правом.</w:t>
      </w:r>
    </w:p>
    <w:p w:rsidR="004069CB" w:rsidRPr="007C5168" w:rsidRDefault="00E877DE" w:rsidP="007C5168">
      <w:pPr>
        <w:pStyle w:val="ad"/>
        <w:keepNext w:val="0"/>
        <w:keepLines w:val="0"/>
        <w:tabs>
          <w:tab w:val="center" w:pos="4677"/>
          <w:tab w:val="right" w:pos="9355"/>
        </w:tabs>
        <w:spacing w:line="360" w:lineRule="atLeast"/>
        <w:rPr>
          <w:rFonts w:eastAsia="Times New Roman"/>
          <w:lang w:eastAsia="ru-RU"/>
        </w:rPr>
      </w:pPr>
      <w:r w:rsidRPr="007C5168">
        <w:rPr>
          <w:rFonts w:eastAsia="Times New Roman"/>
          <w:lang w:eastAsia="ru-RU"/>
        </w:rPr>
        <w:t>6. Продление действия нормы, ограничивающей уменьшение налоговой базы текущего периода на сумму убытков, полученных в предыдущих налоговых периодах, по 2030 год.</w:t>
      </w:r>
    </w:p>
    <w:p w:rsidR="004069CB" w:rsidRPr="007C5168" w:rsidRDefault="00E877DE" w:rsidP="007C5168">
      <w:pPr>
        <w:pStyle w:val="ad"/>
        <w:tabs>
          <w:tab w:val="center" w:pos="4677"/>
          <w:tab w:val="right" w:pos="9355"/>
        </w:tabs>
        <w:spacing w:line="360" w:lineRule="atLeast"/>
        <w:rPr>
          <w:rFonts w:eastAsia="Times New Roman"/>
          <w:lang w:eastAsia="ru-RU"/>
        </w:rPr>
      </w:pPr>
      <w:r w:rsidRPr="007C5168">
        <w:rPr>
          <w:rFonts w:eastAsia="Times New Roman"/>
          <w:lang w:eastAsia="ru-RU"/>
        </w:rPr>
        <w:t xml:space="preserve">7. Сохранение возможности применения инвестиционного налогового вычета организациями, являющимися субъектами естественной монополии </w:t>
      </w:r>
      <w:r w:rsidR="007C5168" w:rsidRPr="007C5168">
        <w:rPr>
          <w:rFonts w:eastAsia="Times New Roman"/>
          <w:lang w:eastAsia="ru-RU"/>
        </w:rPr>
        <w:br/>
      </w:r>
      <w:r w:rsidRPr="007C5168">
        <w:rPr>
          <w:rFonts w:eastAsia="Times New Roman"/>
          <w:lang w:eastAsia="ru-RU"/>
        </w:rPr>
        <w:t>и осуществляющими транспортировку нефти и (или) нефтепродуктов по системе магистральных трубопроводов, и их соответствующих дочерних обществ.</w:t>
      </w:r>
    </w:p>
    <w:p w:rsidR="004069CB" w:rsidRPr="007C5168" w:rsidRDefault="00E877DE" w:rsidP="007C5168">
      <w:pPr>
        <w:pStyle w:val="ad"/>
        <w:keepNext w:val="0"/>
        <w:keepLines w:val="0"/>
        <w:tabs>
          <w:tab w:val="center" w:pos="4677"/>
          <w:tab w:val="right" w:pos="9355"/>
        </w:tabs>
        <w:spacing w:line="360" w:lineRule="atLeast"/>
        <w:rPr>
          <w:rFonts w:eastAsia="Times New Roman"/>
          <w:lang w:eastAsia="ru-RU"/>
        </w:rPr>
      </w:pPr>
      <w:r w:rsidRPr="007C5168">
        <w:rPr>
          <w:rFonts w:eastAsia="Times New Roman"/>
          <w:lang w:eastAsia="ru-RU"/>
        </w:rPr>
        <w:t xml:space="preserve">8. Предоставление возможности применения федерального инвестиционного налогового вычета любым лицом, входящими в одну группу </w:t>
      </w:r>
      <w:r w:rsidR="007C5168" w:rsidRPr="007C5168">
        <w:rPr>
          <w:rFonts w:eastAsia="Times New Roman"/>
          <w:lang w:eastAsia="ru-RU"/>
        </w:rPr>
        <w:br/>
      </w:r>
      <w:r w:rsidRPr="007C5168">
        <w:rPr>
          <w:rFonts w:eastAsia="Times New Roman"/>
          <w:lang w:eastAsia="ru-RU"/>
        </w:rPr>
        <w:t xml:space="preserve">с налогоплательщиком, осуществившим капитальные вложения, </w:t>
      </w:r>
      <w:r w:rsidR="007C5168" w:rsidRPr="007C5168">
        <w:rPr>
          <w:rFonts w:eastAsia="Times New Roman"/>
          <w:lang w:eastAsia="ru-RU"/>
        </w:rPr>
        <w:br/>
      </w:r>
      <w:r w:rsidRPr="007C5168">
        <w:rPr>
          <w:rFonts w:eastAsia="Times New Roman"/>
          <w:lang w:eastAsia="ru-RU"/>
        </w:rPr>
        <w:t>вне зависимости от отрасли, в которой осуществляет деятельность такое лицо.</w:t>
      </w:r>
    </w:p>
    <w:p w:rsidR="004069CB" w:rsidRPr="007C5168" w:rsidRDefault="00E877DE" w:rsidP="007C5168">
      <w:pPr>
        <w:pStyle w:val="ad"/>
        <w:keepNext w:val="0"/>
        <w:keepLines w:val="0"/>
        <w:tabs>
          <w:tab w:val="center" w:pos="4677"/>
          <w:tab w:val="right" w:pos="9355"/>
        </w:tabs>
        <w:spacing w:line="360" w:lineRule="atLeast"/>
        <w:rPr>
          <w:rFonts w:eastAsia="Times New Roman"/>
          <w:lang w:eastAsia="ru-RU"/>
        </w:rPr>
      </w:pPr>
      <w:r w:rsidRPr="007C5168">
        <w:rPr>
          <w:rFonts w:eastAsia="Times New Roman"/>
          <w:lang w:eastAsia="ru-RU"/>
        </w:rPr>
        <w:t xml:space="preserve">9. Исключение из доходов и расходов, не учитываемых </w:t>
      </w:r>
      <w:r w:rsidR="007C5168" w:rsidRPr="007C5168">
        <w:rPr>
          <w:rFonts w:eastAsia="Times New Roman"/>
          <w:lang w:eastAsia="ru-RU"/>
        </w:rPr>
        <w:br/>
      </w:r>
      <w:r w:rsidRPr="007C5168">
        <w:rPr>
          <w:rFonts w:eastAsia="Times New Roman"/>
          <w:lang w:eastAsia="ru-RU"/>
        </w:rPr>
        <w:t>при налогообложении налогом на прибыль организаций, доходов и расходов, относящихся к деятельности организаторов азартных игр в букмекерских конторах и тотализаторах, что позволит обеспечить налогообложение прибыли таких организаторов азартных игр в общеустановленном порядке.</w:t>
      </w:r>
    </w:p>
    <w:p w:rsidR="004069CB" w:rsidRPr="007C5168" w:rsidRDefault="00E877DE" w:rsidP="007C5168">
      <w:pPr>
        <w:pStyle w:val="ad"/>
        <w:keepNext w:val="0"/>
        <w:keepLines w:val="0"/>
        <w:tabs>
          <w:tab w:val="center" w:pos="4677"/>
          <w:tab w:val="right" w:pos="9355"/>
        </w:tabs>
        <w:spacing w:line="360" w:lineRule="atLeast"/>
        <w:rPr>
          <w:rFonts w:eastAsia="Times New Roman"/>
          <w:lang w:eastAsia="ru-RU"/>
        </w:rPr>
      </w:pPr>
      <w:r w:rsidRPr="007C5168">
        <w:rPr>
          <w:rFonts w:eastAsia="Times New Roman"/>
          <w:lang w:eastAsia="ru-RU"/>
        </w:rPr>
        <w:t xml:space="preserve">10. Введение ограничений на использование налоговых преференций </w:t>
      </w:r>
      <w:r w:rsidR="007C5168" w:rsidRPr="007C5168">
        <w:rPr>
          <w:rFonts w:eastAsia="Times New Roman"/>
          <w:lang w:eastAsia="ru-RU"/>
        </w:rPr>
        <w:br/>
      </w:r>
      <w:r w:rsidRPr="007C5168">
        <w:rPr>
          <w:rFonts w:eastAsia="Times New Roman"/>
          <w:lang w:eastAsia="ru-RU"/>
        </w:rPr>
        <w:t xml:space="preserve">для организаций, имеющих статус иностранного агента, и организаций, </w:t>
      </w:r>
      <w:r w:rsidR="007C5168">
        <w:rPr>
          <w:rFonts w:eastAsia="Times New Roman"/>
          <w:lang w:eastAsia="ru-RU"/>
        </w:rPr>
        <w:br/>
      </w:r>
      <w:r w:rsidRPr="007C5168">
        <w:rPr>
          <w:rFonts w:eastAsia="Times New Roman"/>
          <w:lang w:eastAsia="ru-RU"/>
        </w:rPr>
        <w:t xml:space="preserve">в которых указанные организации владеют прямо или косвенно долей участия </w:t>
      </w:r>
      <w:r w:rsidR="007C5168">
        <w:rPr>
          <w:rFonts w:eastAsia="Times New Roman"/>
          <w:lang w:eastAsia="ru-RU"/>
        </w:rPr>
        <w:br/>
      </w:r>
      <w:r w:rsidRPr="007C5168">
        <w:rPr>
          <w:rFonts w:eastAsia="Times New Roman"/>
          <w:lang w:eastAsia="ru-RU"/>
        </w:rPr>
        <w:t>в уставном капитале в размере 10 процентов и более.</w:t>
      </w:r>
    </w:p>
    <w:p w:rsidR="004069CB" w:rsidRPr="007C5168" w:rsidRDefault="00E877DE" w:rsidP="007C5168">
      <w:pPr>
        <w:pStyle w:val="ab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5168">
        <w:rPr>
          <w:rFonts w:ascii="Times New Roman" w:eastAsia="Calibri" w:hAnsi="Times New Roman" w:cs="Times New Roman"/>
          <w:b/>
          <w:sz w:val="28"/>
          <w:szCs w:val="28"/>
        </w:rPr>
        <w:t>Водный налог</w:t>
      </w:r>
    </w:p>
    <w:p w:rsidR="004069CB" w:rsidRPr="007C5168" w:rsidRDefault="00E877DE" w:rsidP="007C5168">
      <w:pPr>
        <w:pStyle w:val="ad"/>
        <w:keepNext w:val="0"/>
        <w:keepLines w:val="0"/>
        <w:tabs>
          <w:tab w:val="center" w:pos="4677"/>
          <w:tab w:val="right" w:pos="9355"/>
        </w:tabs>
        <w:spacing w:line="360" w:lineRule="atLeast"/>
        <w:rPr>
          <w:rFonts w:eastAsia="Times New Roman"/>
          <w:lang w:eastAsia="ru-RU"/>
        </w:rPr>
      </w:pPr>
      <w:r w:rsidRPr="007C5168">
        <w:rPr>
          <w:rFonts w:eastAsia="Times New Roman"/>
          <w:lang w:eastAsia="ru-RU"/>
        </w:rPr>
        <w:t xml:space="preserve">1. Устранение правовой неопределенности в отношении федерального органа исполнительной власти, определяющего коэффициент, учитывающий фактическое изменение (в среднем за год) потребительских цен на товары (работы, услуги) в Российской Федерации для расчета водного налога </w:t>
      </w:r>
      <w:r w:rsidRPr="007C5168">
        <w:rPr>
          <w:rFonts w:eastAsia="Times New Roman"/>
          <w:lang w:eastAsia="ru-RU"/>
        </w:rPr>
        <w:br/>
        <w:t>с 2026 года.</w:t>
      </w:r>
    </w:p>
    <w:p w:rsidR="004069CB" w:rsidRPr="007C5168" w:rsidRDefault="00E877DE" w:rsidP="007C5168">
      <w:pPr>
        <w:pStyle w:val="ad"/>
        <w:keepNext w:val="0"/>
        <w:keepLines w:val="0"/>
        <w:tabs>
          <w:tab w:val="center" w:pos="4677"/>
          <w:tab w:val="right" w:pos="9355"/>
        </w:tabs>
        <w:spacing w:line="360" w:lineRule="atLeast"/>
        <w:rPr>
          <w:rFonts w:eastAsia="Times New Roman"/>
          <w:lang w:eastAsia="ru-RU"/>
        </w:rPr>
      </w:pPr>
      <w:r w:rsidRPr="007C5168">
        <w:rPr>
          <w:rFonts w:eastAsia="Times New Roman"/>
          <w:lang w:eastAsia="ru-RU"/>
        </w:rPr>
        <w:lastRenderedPageBreak/>
        <w:t>2. Корректировка действующей нормы в отношении общих ставок водного налога в части их округления в связи с предлагаемыми законопроектом изменениями и установление аналогичной нормы в отношении ставок водного налога при заборе воды для водоснабжения населения, поскольку коэффициент-дефлятор в общем порядке содержит три знака после запятой.</w:t>
      </w:r>
    </w:p>
    <w:p w:rsidR="004069CB" w:rsidRPr="007C5168" w:rsidRDefault="00E877DE" w:rsidP="007C5168">
      <w:pPr>
        <w:pStyle w:val="ab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168">
        <w:rPr>
          <w:rFonts w:ascii="Times New Roman" w:eastAsia="Calibri" w:hAnsi="Times New Roman" w:cs="Times New Roman"/>
          <w:b/>
          <w:sz w:val="28"/>
          <w:szCs w:val="28"/>
        </w:rPr>
        <w:t>В части государственной пошлины</w:t>
      </w:r>
    </w:p>
    <w:p w:rsidR="004069CB" w:rsidRPr="007C5168" w:rsidRDefault="00E877DE" w:rsidP="007C5168">
      <w:pPr>
        <w:ind w:firstLine="709"/>
        <w:contextualSpacing/>
        <w:rPr>
          <w:rFonts w:ascii="Times New Roman" w:eastAsia="Calibri" w:hAnsi="Times New Roman"/>
          <w:szCs w:val="28"/>
        </w:rPr>
      </w:pPr>
      <w:r w:rsidRPr="007C5168">
        <w:rPr>
          <w:rFonts w:ascii="Times New Roman" w:eastAsia="Calibri" w:hAnsi="Times New Roman"/>
          <w:szCs w:val="28"/>
        </w:rPr>
        <w:t>1. Исключение положения, касающегося взимания государственной пошлины за выдачу акцизных марок, в связи с отменой маркировки акцизными марками алкогольной продукции, ввозимой (импортируемой) в Российскую Федерацию.</w:t>
      </w:r>
    </w:p>
    <w:p w:rsidR="004069CB" w:rsidRPr="007C5168" w:rsidRDefault="00E877DE" w:rsidP="007C5168">
      <w:pPr>
        <w:ind w:firstLine="709"/>
        <w:contextualSpacing/>
        <w:rPr>
          <w:rFonts w:ascii="Times New Roman" w:eastAsia="Calibri" w:hAnsi="Times New Roman"/>
          <w:szCs w:val="28"/>
        </w:rPr>
      </w:pPr>
      <w:r w:rsidRPr="007C5168">
        <w:rPr>
          <w:rFonts w:ascii="Times New Roman" w:eastAsia="Calibri" w:hAnsi="Times New Roman"/>
          <w:szCs w:val="28"/>
        </w:rPr>
        <w:t xml:space="preserve">2. Установление государственной пошлины за внесение сведений </w:t>
      </w:r>
      <w:r w:rsidR="007C5168" w:rsidRPr="007C5168">
        <w:rPr>
          <w:rFonts w:ascii="Times New Roman" w:eastAsia="Calibri" w:hAnsi="Times New Roman"/>
          <w:szCs w:val="28"/>
        </w:rPr>
        <w:br/>
      </w:r>
      <w:r w:rsidRPr="007C5168">
        <w:rPr>
          <w:rFonts w:ascii="Times New Roman" w:eastAsia="Calibri" w:hAnsi="Times New Roman"/>
          <w:szCs w:val="28"/>
        </w:rPr>
        <w:t>об обороте товаров, подлежащих обязательной маркировке, в государственную информационную систему мониторинга за оборотом товаров, подлежащих обязательной маркировке средствами идентификации.</w:t>
      </w:r>
    </w:p>
    <w:p w:rsidR="004069CB" w:rsidRPr="007C5168" w:rsidRDefault="00E877DE" w:rsidP="007C5168">
      <w:pPr>
        <w:pStyle w:val="ab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b/>
          <w:sz w:val="28"/>
          <w:szCs w:val="28"/>
        </w:rPr>
        <w:t>Налог на дополнительный доход от добычи углеводородного сырья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1. Расширение перечня оснований для восстановления фактических расходов на участке недр в текущем налоговом периоде по налогу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на дополнительный доход от добычи углеводородного сырья за счет уменьшения сумм исчисленных налогов, сборов, страховых взносов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и уменьшения сумм стоимости приобретенных товаров (работ, услуг), имущественных прав, учтенных в составе фактических расходов предыдущих налоговых периодов, в целях упрощения налогового учета и налогового администрирования.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2. Юридико-техническая корректировка определения показателя Ц</w:t>
      </w:r>
      <w:r w:rsidRPr="007C5168">
        <w:rPr>
          <w:rFonts w:ascii="Times New Roman" w:eastAsia="Calibri" w:hAnsi="Times New Roman" w:cs="Times New Roman"/>
          <w:sz w:val="28"/>
          <w:szCs w:val="28"/>
          <w:vertAlign w:val="subscript"/>
        </w:rPr>
        <w:t>нефть</w:t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5168">
        <w:rPr>
          <w:rFonts w:ascii="Times New Roman" w:eastAsia="Calibri" w:hAnsi="Times New Roman" w:cs="Times New Roman"/>
          <w:sz w:val="28"/>
          <w:szCs w:val="28"/>
        </w:rPr>
        <w:br/>
        <w:t>в связи с изменением порядка расчета цены на российскую нефть.</w:t>
      </w:r>
    </w:p>
    <w:p w:rsidR="004069CB" w:rsidRPr="007C5168" w:rsidRDefault="00E877DE" w:rsidP="007C5168">
      <w:pPr>
        <w:pStyle w:val="ab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5168">
        <w:rPr>
          <w:rFonts w:ascii="Times New Roman" w:eastAsia="Calibri" w:hAnsi="Times New Roman" w:cs="Times New Roman"/>
          <w:b/>
          <w:sz w:val="28"/>
          <w:szCs w:val="28"/>
        </w:rPr>
        <w:t>Налог на добычу полезных ископаемых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1. Уточнение формулы расчета цены на российскую нефть в целях избежания неоднозначного толкования, а также приведение наименования цены российской нефти в соответствие с указанными изменениями законодательства Российской Федерации о налогах и сборах.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2. В связи с прекращением действия с 1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 xml:space="preserve"> сентября </w:t>
      </w:r>
      <w:r w:rsidRPr="007C5168">
        <w:rPr>
          <w:rFonts w:ascii="Times New Roman" w:eastAsia="Calibri" w:hAnsi="Times New Roman" w:cs="Times New Roman"/>
          <w:sz w:val="28"/>
          <w:szCs w:val="28"/>
        </w:rPr>
        <w:t>2025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> г.</w:t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 Правил поставки газа в Российской Федерации, утвержденных постановлением Правительства Российской Федерации от 5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 xml:space="preserve"> февраля </w:t>
      </w:r>
      <w:r w:rsidRPr="007C5168">
        <w:rPr>
          <w:rFonts w:ascii="Times New Roman" w:eastAsia="Calibri" w:hAnsi="Times New Roman" w:cs="Times New Roman"/>
          <w:sz w:val="28"/>
          <w:szCs w:val="28"/>
        </w:rPr>
        <w:t>1998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> г.</w:t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> </w:t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162, содержащих нормативное определение понятия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>"</w:t>
      </w:r>
      <w:r w:rsidRPr="007C5168">
        <w:rPr>
          <w:rFonts w:ascii="Times New Roman" w:eastAsia="Calibri" w:hAnsi="Times New Roman" w:cs="Times New Roman"/>
          <w:sz w:val="28"/>
          <w:szCs w:val="28"/>
        </w:rPr>
        <w:t>газ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>"</w:t>
      </w:r>
      <w:r w:rsidRPr="007C5168">
        <w:rPr>
          <w:rFonts w:ascii="Times New Roman" w:eastAsia="Calibri" w:hAnsi="Times New Roman" w:cs="Times New Roman"/>
          <w:sz w:val="28"/>
          <w:szCs w:val="28"/>
        </w:rPr>
        <w:t>, в целях сохранения стабильности правового регулирования при исчислении налога на добычу полезных ископаемых</w:t>
      </w:r>
      <w:r w:rsidRPr="007C5168">
        <w:rPr>
          <w:rFonts w:ascii="Times New Roman" w:eastAsia="Calibri" w:hAnsi="Times New Roman" w:cs="Times New Roman"/>
          <w:sz w:val="28"/>
          <w:szCs w:val="28"/>
        </w:rPr>
        <w:br/>
        <w:t xml:space="preserve">(далее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>-</w:t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 НДПИ) при добыче газа горючего природного предлагается дополнить определением понятия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>"</w:t>
      </w:r>
      <w:r w:rsidRPr="007C5168">
        <w:rPr>
          <w:rFonts w:ascii="Times New Roman" w:eastAsia="Calibri" w:hAnsi="Times New Roman" w:cs="Times New Roman"/>
          <w:sz w:val="28"/>
          <w:szCs w:val="28"/>
        </w:rPr>
        <w:t>газ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>"</w:t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 при расчете показателей К</w:t>
      </w:r>
      <w:r w:rsidRPr="007C5168">
        <w:rPr>
          <w:rFonts w:ascii="Times New Roman" w:eastAsia="Calibri" w:hAnsi="Times New Roman" w:cs="Times New Roman"/>
          <w:sz w:val="28"/>
          <w:szCs w:val="28"/>
          <w:vertAlign w:val="subscript"/>
        </w:rPr>
        <w:t>КГ2023</w:t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 и К</w:t>
      </w:r>
      <w:r w:rsidRPr="007C5168">
        <w:rPr>
          <w:rFonts w:ascii="Times New Roman" w:eastAsia="Calibri" w:hAnsi="Times New Roman" w:cs="Times New Roman"/>
          <w:sz w:val="28"/>
          <w:szCs w:val="28"/>
          <w:vertAlign w:val="subscript"/>
        </w:rPr>
        <w:t>КГ2024</w:t>
      </w:r>
      <w:r w:rsidRPr="007C51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lastRenderedPageBreak/>
        <w:t>3. Предоставление налогового вычета по НДПИ в отношении железной руды (за исключением окисленных железистых кварцитов), добытой на участках недр, расположенных в Оленегорском районе Мурманской области.</w:t>
      </w:r>
    </w:p>
    <w:p w:rsidR="004069CB" w:rsidRPr="007C5168" w:rsidRDefault="00E877DE" w:rsidP="007C5168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5168">
        <w:rPr>
          <w:rFonts w:ascii="Times New Roman" w:eastAsia="Calibri" w:hAnsi="Times New Roman" w:cs="Times New Roman"/>
          <w:b/>
          <w:sz w:val="28"/>
          <w:szCs w:val="28"/>
        </w:rPr>
        <w:t>В части специальных налоговых режимов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1. В целях снижения нагрузки на налогоплательщиков уточняются переходные положения в части учета в составе расходов налога на прибыль организаций стоимости товаров, приобретенных и оплаченных не ранее чем,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за 3 года предшествующих году перехода с единого сельскохозяйственного налога или упрощенной системы налогообложения (далее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>-</w:t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 УСН),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но реализованных после перехода на общую систему налогообложения.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2. Уточнение положений о возможности применения УСН адвокатами, учредившими адвокатские кабинеты, а также иные формы адвокатских образований, в случае осуществления иных видов деятельности, не связанных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с адвокатской деятельностью в целях исключения двоякого толкования норм.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3. Установление возможности индивидуальным предпринимателям представлять уточненное заявление на получение патента в связи с изменением количества физических показателей в целях перерасчета суммы налога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по патенту.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4. В целях развития микробизнеса и обеспечение конкурентных условий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с бизнес-сообществом, достигшим среднего уровня по видам предпринимательской деятельности, в отношении которых применяется патентная система налогообложения, предлагается снизить предельное значение величины суммы доходов в целях применения патентной системы налогообложения, а также предусматривается исключение из перечня видов предпринимательской деятельности, в отношении которых применяется патентная система налогообложения, торговой деятельности в стационарных торговых объектах и оказания автотранспортных услуг по перевозке грузов автомобильным транспортом.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5. Также в целях развития микробизнеса и обеспечение конкурентных условий с бизнес-сообществом, достигшим среднего уровня по видам предпринимательской деятельности, в отношении которых применяется упрощенная система налогообложения, предлагается снизить предельное значение величины суммы доходов в целях применения указанной системы налогообложения.</w:t>
      </w:r>
    </w:p>
    <w:p w:rsidR="004069CB" w:rsidRPr="007C5168" w:rsidRDefault="00E877DE" w:rsidP="007C5168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b/>
          <w:sz w:val="28"/>
          <w:szCs w:val="28"/>
        </w:rPr>
        <w:t>В части имущественных налогов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1. Уточнение порядка освобождения от налогообложения транспортных средств, зарегистрированных на сельскохозяйственных товаропроизводителей.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 Установление льготы по транспортному налогу, земельному налогу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для участников специальной военной операции и членов их семей.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3. Отмена обязанности организаций по исчислению транспортного налога, земельного налога и налога на имущество организаций, исчисляемого исходя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из кадастровой стоимости, с возложением этой обязанности на налоговые органы.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4. Уточнение определения понятия объекта бытового обслуживания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в целях применения положений </w:t>
      </w:r>
      <w:r w:rsidR="00F83C1F">
        <w:rPr>
          <w:rFonts w:ascii="Times New Roman" w:eastAsia="Calibri" w:hAnsi="Times New Roman" w:cs="Times New Roman"/>
          <w:sz w:val="28"/>
          <w:szCs w:val="28"/>
        </w:rPr>
        <w:t xml:space="preserve">Кодекса </w:t>
      </w:r>
      <w:r w:rsidRPr="007C5168">
        <w:rPr>
          <w:rFonts w:ascii="Times New Roman" w:eastAsia="Calibri" w:hAnsi="Times New Roman" w:cs="Times New Roman"/>
          <w:sz w:val="28"/>
          <w:szCs w:val="28"/>
        </w:rPr>
        <w:t>как объекта недвижимости, используемого для оказания бытовых услуг физическим и (или) юридическим лицам по перечню кодов ОКВЭД и ОКПД, что позволит уйти от сложившейся в настоящее время неоднозначной правоприменительной практики в определении объектов бытового обслуживания.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5. Освобождение организаций от уплаты налога на имущество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в отношении имущества, предоставленного в безвозмездное пользование для размещения участков исправительных центров уголовно-исполнительной системы.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  <w:tab w:val="left" w:pos="1935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6. </w:t>
      </w:r>
      <w:r w:rsidRPr="007C5168">
        <w:rPr>
          <w:rFonts w:ascii="Times New Roman" w:eastAsia="Calibri" w:hAnsi="Times New Roman" w:cs="Times New Roman"/>
          <w:sz w:val="28"/>
          <w:szCs w:val="28"/>
        </w:rPr>
        <w:tab/>
        <w:t xml:space="preserve">Предоставление налоговых вычетов для многодетных родителей </w:t>
      </w:r>
      <w:r w:rsidRPr="007C5168">
        <w:rPr>
          <w:rFonts w:ascii="Times New Roman" w:eastAsia="Calibri" w:hAnsi="Times New Roman" w:cs="Times New Roman"/>
          <w:sz w:val="28"/>
          <w:szCs w:val="28"/>
        </w:rPr>
        <w:br/>
        <w:t xml:space="preserve">по земельному налогу и налогу на имущество физических лиц в объеме, предусмотренном Указом Президента Российской Федерации </w:t>
      </w:r>
      <w:r w:rsidR="00F83C1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7C5168">
        <w:rPr>
          <w:rFonts w:ascii="Times New Roman" w:eastAsia="Calibri" w:hAnsi="Times New Roman" w:cs="Times New Roman"/>
          <w:sz w:val="28"/>
          <w:szCs w:val="28"/>
        </w:rPr>
        <w:t>от 23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 xml:space="preserve"> января </w:t>
      </w:r>
      <w:r w:rsidRPr="007C5168">
        <w:rPr>
          <w:rFonts w:ascii="Times New Roman" w:eastAsia="Calibri" w:hAnsi="Times New Roman" w:cs="Times New Roman"/>
          <w:sz w:val="28"/>
          <w:szCs w:val="28"/>
        </w:rPr>
        <w:t>2024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t xml:space="preserve"> г. </w:t>
      </w:r>
      <w:r w:rsidRPr="007C5168">
        <w:rPr>
          <w:rFonts w:ascii="Times New Roman" w:eastAsia="Calibri" w:hAnsi="Times New Roman" w:cs="Times New Roman"/>
          <w:sz w:val="28"/>
          <w:szCs w:val="28"/>
        </w:rPr>
        <w:t>№ 63.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  <w:tab w:val="left" w:pos="1935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7. Перевод налога на игорный бизнес из региональных налогов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в федеральные с одновременным изменением подхода к налогообложению букмекерских контор и тотализаторов. 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  <w:tab w:val="left" w:pos="1935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Так, с учетом международного опыта налогообложения букмекерских контор и тотализаторов законопроектом предусмотрено, что налогообложение будет осуществляться в зависимости от получаемого организациями дохода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вне зависимости от количества используемых объектов игорного бизнеса. 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  <w:tab w:val="left" w:pos="1935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При этом в отношении организаторов азартных игр в казино и залах игровых автоматов действующие условия налогообложения предлагается сохранить.</w:t>
      </w:r>
    </w:p>
    <w:p w:rsidR="004069CB" w:rsidRPr="007C5168" w:rsidRDefault="00E877DE" w:rsidP="007C5168">
      <w:pPr>
        <w:pStyle w:val="ab"/>
        <w:numPr>
          <w:ilvl w:val="0"/>
          <w:numId w:val="1"/>
        </w:numPr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5168">
        <w:rPr>
          <w:rFonts w:ascii="Times New Roman" w:hAnsi="Times New Roman" w:cs="Times New Roman"/>
          <w:b/>
          <w:bCs/>
          <w:sz w:val="28"/>
          <w:szCs w:val="28"/>
        </w:rPr>
        <w:t>В части туристического налога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  <w:tab w:val="left" w:pos="1935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>1. Уточнение порядка исчисления туристического налога в отношении услуг по временному проживанию в составе услуг по санаторно-курортному лечению на основании путевок.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  <w:tab w:val="left" w:pos="1935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2. Уточнение полномочий представительных органов муниципальных образований по дифференциации налоговых ставок по туристическому налогу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в зависимости от сезонности и (или) типа средства размещения.</w:t>
      </w:r>
    </w:p>
    <w:p w:rsidR="004069CB" w:rsidRPr="007C5168" w:rsidRDefault="00E877DE" w:rsidP="007C5168">
      <w:pPr>
        <w:pStyle w:val="ab"/>
        <w:tabs>
          <w:tab w:val="left" w:pos="709"/>
          <w:tab w:val="left" w:pos="993"/>
          <w:tab w:val="left" w:pos="1935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 Освобождение от уплаты туристического налога организаций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 xml:space="preserve">в отношении услуг по временному проживанию в составе услуг по санаторно-курортному лечению, предоставляемых при наличии медицинских показаний, оплата которых осуществляется за счет средств бюджетов, а также организаций в отношении услуг по временному проживанию в составе услуг </w:t>
      </w:r>
      <w:r w:rsidR="007C5168" w:rsidRPr="007C5168">
        <w:rPr>
          <w:rFonts w:ascii="Times New Roman" w:eastAsia="Calibri" w:hAnsi="Times New Roman" w:cs="Times New Roman"/>
          <w:sz w:val="28"/>
          <w:szCs w:val="28"/>
        </w:rPr>
        <w:br/>
      </w:r>
      <w:r w:rsidRPr="007C5168">
        <w:rPr>
          <w:rFonts w:ascii="Times New Roman" w:eastAsia="Calibri" w:hAnsi="Times New Roman" w:cs="Times New Roman"/>
          <w:sz w:val="28"/>
          <w:szCs w:val="28"/>
        </w:rPr>
        <w:t>по организованному отдыху, оплата которых осуществляется в рамках государственных заданий за счет бюджетных ассигнований федерального бюджета и предоставляемых в средствах размещения, закрепленных на праве оперативного управления за учреждениями, находящимися в ведении федерального органа исполнительной власти, основными задачами которого являются материально-техническое обеспечение деятельности и социально-бытовое обслуживание Президента Российской Федерации.</w:t>
      </w:r>
    </w:p>
    <w:p w:rsidR="004069CB" w:rsidRPr="007C5168" w:rsidRDefault="00E877DE" w:rsidP="007C5168">
      <w:pPr>
        <w:pStyle w:val="ab"/>
        <w:numPr>
          <w:ilvl w:val="0"/>
          <w:numId w:val="1"/>
        </w:numPr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5168">
        <w:rPr>
          <w:rFonts w:ascii="Times New Roman" w:eastAsia="Calibri" w:hAnsi="Times New Roman" w:cs="Times New Roman"/>
          <w:b/>
          <w:sz w:val="28"/>
          <w:szCs w:val="28"/>
        </w:rPr>
        <w:t>В части страховых взносов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szCs w:val="28"/>
        </w:rPr>
      </w:pPr>
      <w:r w:rsidRPr="007C5168">
        <w:rPr>
          <w:rFonts w:ascii="Times New Roman" w:hAnsi="Times New Roman"/>
          <w:szCs w:val="28"/>
        </w:rPr>
        <w:t xml:space="preserve">1. Установление </w:t>
      </w:r>
      <w:r w:rsidR="007C5168">
        <w:rPr>
          <w:rFonts w:ascii="Times New Roman" w:hAnsi="Times New Roman"/>
          <w:szCs w:val="28"/>
        </w:rPr>
        <w:t xml:space="preserve">с </w:t>
      </w:r>
      <w:r w:rsidRPr="007C5168">
        <w:rPr>
          <w:rFonts w:ascii="Times New Roman" w:hAnsi="Times New Roman"/>
          <w:szCs w:val="28"/>
        </w:rPr>
        <w:t>1</w:t>
      </w:r>
      <w:r w:rsidR="007C5168">
        <w:rPr>
          <w:rFonts w:ascii="Times New Roman" w:hAnsi="Times New Roman"/>
          <w:szCs w:val="28"/>
        </w:rPr>
        <w:t xml:space="preserve"> января </w:t>
      </w:r>
      <w:r w:rsidRPr="007C5168">
        <w:rPr>
          <w:rFonts w:ascii="Times New Roman" w:hAnsi="Times New Roman"/>
          <w:szCs w:val="28"/>
        </w:rPr>
        <w:t>2026</w:t>
      </w:r>
      <w:r w:rsidR="007C5168">
        <w:rPr>
          <w:rFonts w:ascii="Times New Roman" w:hAnsi="Times New Roman"/>
          <w:szCs w:val="28"/>
        </w:rPr>
        <w:t> г.</w:t>
      </w:r>
      <w:r w:rsidRPr="007C5168">
        <w:rPr>
          <w:rFonts w:ascii="Times New Roman" w:hAnsi="Times New Roman"/>
          <w:szCs w:val="28"/>
        </w:rPr>
        <w:t xml:space="preserve"> обязанности плательщиков страховых взносов </w:t>
      </w:r>
      <w:r w:rsidR="007C5168" w:rsidRPr="007C5168">
        <w:rPr>
          <w:rFonts w:ascii="Times New Roman" w:hAnsi="Times New Roman"/>
          <w:szCs w:val="28"/>
        </w:rPr>
        <w:t>-</w:t>
      </w:r>
      <w:r w:rsidRPr="007C5168">
        <w:rPr>
          <w:rFonts w:ascii="Times New Roman" w:hAnsi="Times New Roman"/>
          <w:szCs w:val="28"/>
        </w:rPr>
        <w:t xml:space="preserve"> организаций по исчислению страховых взносов с выплат и иных вознаграждений в пользу руководителей исходя из минимального размера оплаты труда (далее </w:t>
      </w:r>
      <w:r w:rsidR="007C5168" w:rsidRPr="007C5168">
        <w:rPr>
          <w:rFonts w:ascii="Times New Roman" w:hAnsi="Times New Roman"/>
          <w:szCs w:val="28"/>
        </w:rPr>
        <w:t>-</w:t>
      </w:r>
      <w:r w:rsidRPr="007C5168">
        <w:rPr>
          <w:rFonts w:ascii="Times New Roman" w:hAnsi="Times New Roman"/>
          <w:szCs w:val="28"/>
        </w:rPr>
        <w:t xml:space="preserve"> МРОТ) в случаях, когда таким работникам выплаты составили менее величины МРОТ.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szCs w:val="28"/>
        </w:rPr>
      </w:pPr>
      <w:r w:rsidRPr="007C5168">
        <w:rPr>
          <w:rFonts w:ascii="Times New Roman" w:hAnsi="Times New Roman"/>
          <w:szCs w:val="28"/>
        </w:rPr>
        <w:t xml:space="preserve">2. Освобождение от обложения страховыми взносами выплат работнику, проходящему военную службу по контракту, заключенному для участия </w:t>
      </w:r>
      <w:r w:rsidR="007C5168">
        <w:rPr>
          <w:rFonts w:ascii="Times New Roman" w:hAnsi="Times New Roman"/>
          <w:szCs w:val="28"/>
        </w:rPr>
        <w:br/>
      </w:r>
      <w:r w:rsidRPr="007C5168">
        <w:rPr>
          <w:rFonts w:ascii="Times New Roman" w:hAnsi="Times New Roman"/>
          <w:szCs w:val="28"/>
        </w:rPr>
        <w:t>в специальной военной операции, независимо от срока действия такого контракта.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szCs w:val="28"/>
        </w:rPr>
      </w:pPr>
      <w:r w:rsidRPr="007C5168">
        <w:rPr>
          <w:rFonts w:ascii="Times New Roman" w:hAnsi="Times New Roman"/>
          <w:szCs w:val="28"/>
        </w:rPr>
        <w:t>3. Дополнение перечня расходов, связанных со служебной командировкой работника, оплачиваемых работодателем и освобождаемых от обложения страховыми взносами.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szCs w:val="28"/>
        </w:rPr>
      </w:pPr>
      <w:r w:rsidRPr="007C5168">
        <w:rPr>
          <w:rFonts w:ascii="Times New Roman" w:hAnsi="Times New Roman"/>
          <w:szCs w:val="28"/>
        </w:rPr>
        <w:t>4. Увеличение с 2026 года для ИТ-организаций единого пониженного тарифа страховых взносов до 15</w:t>
      </w:r>
      <w:r w:rsidR="00E67845">
        <w:rPr>
          <w:rFonts w:ascii="Times New Roman" w:hAnsi="Times New Roman"/>
          <w:szCs w:val="28"/>
        </w:rPr>
        <w:t xml:space="preserve"> </w:t>
      </w:r>
      <w:r w:rsidR="00E67845">
        <w:rPr>
          <w:rFonts w:ascii="Times New Roman" w:eastAsia="Calibri" w:hAnsi="Times New Roman"/>
          <w:szCs w:val="28"/>
        </w:rPr>
        <w:t>процентов</w:t>
      </w:r>
      <w:r w:rsidRPr="007C5168">
        <w:rPr>
          <w:rFonts w:ascii="Times New Roman" w:hAnsi="Times New Roman"/>
          <w:szCs w:val="28"/>
        </w:rPr>
        <w:t xml:space="preserve"> с сумм в пределах установленной единой предельной величины базы для исчисления страховых взносов </w:t>
      </w:r>
      <w:r w:rsidR="00E67845">
        <w:rPr>
          <w:rFonts w:ascii="Times New Roman" w:hAnsi="Times New Roman"/>
          <w:szCs w:val="28"/>
        </w:rPr>
        <w:t xml:space="preserve">                  </w:t>
      </w:r>
      <w:r w:rsidRPr="007C5168">
        <w:rPr>
          <w:rFonts w:ascii="Times New Roman" w:hAnsi="Times New Roman"/>
          <w:szCs w:val="28"/>
        </w:rPr>
        <w:t xml:space="preserve">(далее </w:t>
      </w:r>
      <w:r w:rsidR="007C5168" w:rsidRPr="007C5168">
        <w:rPr>
          <w:rFonts w:ascii="Times New Roman" w:hAnsi="Times New Roman"/>
          <w:szCs w:val="28"/>
        </w:rPr>
        <w:t>-</w:t>
      </w:r>
      <w:r w:rsidRPr="007C5168">
        <w:rPr>
          <w:rFonts w:ascii="Times New Roman" w:hAnsi="Times New Roman"/>
          <w:szCs w:val="28"/>
        </w:rPr>
        <w:t xml:space="preserve"> ЕПВБ) с сохранением единого пониженного тарифа страховых взносов в размере 7,6</w:t>
      </w:r>
      <w:r w:rsidR="00E67845">
        <w:rPr>
          <w:rFonts w:ascii="Times New Roman" w:hAnsi="Times New Roman"/>
          <w:szCs w:val="28"/>
        </w:rPr>
        <w:t xml:space="preserve"> </w:t>
      </w:r>
      <w:r w:rsidR="00E67845">
        <w:rPr>
          <w:rFonts w:ascii="Times New Roman" w:eastAsia="Calibri" w:hAnsi="Times New Roman"/>
          <w:szCs w:val="28"/>
        </w:rPr>
        <w:t>процентов</w:t>
      </w:r>
      <w:r w:rsidRPr="007C5168">
        <w:rPr>
          <w:rFonts w:ascii="Times New Roman" w:hAnsi="Times New Roman"/>
          <w:szCs w:val="28"/>
        </w:rPr>
        <w:t xml:space="preserve"> с сумм сверх ЕПВБ. Исключение применения единых пониженных тарифов страховых взносов, установленных для ИТ-организаций, организациями, имеющими статус участника проекта </w:t>
      </w:r>
      <w:r w:rsidR="007C5168" w:rsidRPr="007C5168">
        <w:rPr>
          <w:rFonts w:ascii="Times New Roman" w:hAnsi="Times New Roman"/>
          <w:szCs w:val="28"/>
        </w:rPr>
        <w:t>"</w:t>
      </w:r>
      <w:r w:rsidRPr="007C5168">
        <w:rPr>
          <w:rFonts w:ascii="Times New Roman" w:hAnsi="Times New Roman"/>
          <w:szCs w:val="28"/>
        </w:rPr>
        <w:t>Сколково</w:t>
      </w:r>
      <w:r w:rsidR="007C5168" w:rsidRPr="007C5168">
        <w:rPr>
          <w:rFonts w:ascii="Times New Roman" w:hAnsi="Times New Roman"/>
          <w:szCs w:val="28"/>
        </w:rPr>
        <w:t>"</w:t>
      </w:r>
      <w:r w:rsidRPr="007C5168">
        <w:rPr>
          <w:rFonts w:ascii="Times New Roman" w:hAnsi="Times New Roman"/>
          <w:szCs w:val="28"/>
        </w:rPr>
        <w:t>.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szCs w:val="28"/>
        </w:rPr>
      </w:pPr>
      <w:r w:rsidRPr="007C5168">
        <w:rPr>
          <w:rFonts w:ascii="Times New Roman" w:hAnsi="Times New Roman"/>
          <w:szCs w:val="28"/>
        </w:rPr>
        <w:t>5. Снижение до 0,0</w:t>
      </w:r>
      <w:r w:rsidR="00E67845">
        <w:rPr>
          <w:rFonts w:ascii="Times New Roman" w:hAnsi="Times New Roman"/>
          <w:szCs w:val="28"/>
        </w:rPr>
        <w:t xml:space="preserve"> </w:t>
      </w:r>
      <w:r w:rsidR="00E67845">
        <w:rPr>
          <w:rFonts w:ascii="Times New Roman" w:eastAsia="Calibri" w:hAnsi="Times New Roman"/>
          <w:szCs w:val="28"/>
        </w:rPr>
        <w:t>процентов</w:t>
      </w:r>
      <w:r w:rsidRPr="007C5168">
        <w:rPr>
          <w:rFonts w:ascii="Times New Roman" w:hAnsi="Times New Roman"/>
          <w:szCs w:val="28"/>
        </w:rPr>
        <w:t xml:space="preserve"> единого пониженного тарифа страховых взносов с выплат работникам сверх ЕПВБ для организаций, осуществляющих деятельность в сфере радиоэлектронной промышленности.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szCs w:val="28"/>
        </w:rPr>
      </w:pPr>
      <w:r w:rsidRPr="007C5168">
        <w:rPr>
          <w:rFonts w:ascii="Times New Roman" w:hAnsi="Times New Roman"/>
          <w:szCs w:val="28"/>
        </w:rPr>
        <w:t>6. Установление на 10 лет начиная с 2027 года единых пониженных тарифов страховых взносов в размере 7,6</w:t>
      </w:r>
      <w:r w:rsidR="00E67845">
        <w:rPr>
          <w:rFonts w:ascii="Times New Roman" w:hAnsi="Times New Roman"/>
          <w:szCs w:val="28"/>
        </w:rPr>
        <w:t xml:space="preserve"> </w:t>
      </w:r>
      <w:r w:rsidR="00E67845">
        <w:rPr>
          <w:rFonts w:ascii="Times New Roman" w:eastAsia="Calibri" w:hAnsi="Times New Roman"/>
          <w:szCs w:val="28"/>
        </w:rPr>
        <w:t>процентов</w:t>
      </w:r>
      <w:r w:rsidRPr="007C5168">
        <w:rPr>
          <w:rFonts w:ascii="Times New Roman" w:hAnsi="Times New Roman"/>
          <w:szCs w:val="28"/>
        </w:rPr>
        <w:t xml:space="preserve"> с сумм в пределах ЕПВБ </w:t>
      </w:r>
      <w:r w:rsidR="00E67845">
        <w:rPr>
          <w:rFonts w:ascii="Times New Roman" w:hAnsi="Times New Roman"/>
          <w:szCs w:val="28"/>
        </w:rPr>
        <w:t xml:space="preserve">        </w:t>
      </w:r>
      <w:r w:rsidRPr="007C5168">
        <w:rPr>
          <w:rFonts w:ascii="Times New Roman" w:hAnsi="Times New Roman"/>
          <w:szCs w:val="28"/>
        </w:rPr>
        <w:t>и 0,0</w:t>
      </w:r>
      <w:r w:rsidR="00E67845">
        <w:rPr>
          <w:rFonts w:ascii="Times New Roman" w:hAnsi="Times New Roman"/>
          <w:szCs w:val="28"/>
        </w:rPr>
        <w:t xml:space="preserve"> </w:t>
      </w:r>
      <w:r w:rsidR="00E67845">
        <w:rPr>
          <w:rFonts w:ascii="Times New Roman" w:eastAsia="Calibri" w:hAnsi="Times New Roman"/>
          <w:szCs w:val="28"/>
        </w:rPr>
        <w:t>процентов</w:t>
      </w:r>
      <w:r w:rsidR="00EB2C71">
        <w:rPr>
          <w:rFonts w:ascii="Times New Roman" w:eastAsia="Calibri" w:hAnsi="Times New Roman"/>
          <w:szCs w:val="28"/>
        </w:rPr>
        <w:t xml:space="preserve"> </w:t>
      </w:r>
      <w:r w:rsidRPr="007C5168">
        <w:rPr>
          <w:rFonts w:ascii="Times New Roman" w:hAnsi="Times New Roman"/>
          <w:szCs w:val="28"/>
        </w:rPr>
        <w:t xml:space="preserve">с сумм свыше ЕПВБ для религиозных организаций и в размере </w:t>
      </w:r>
      <w:r w:rsidRPr="007C5168">
        <w:rPr>
          <w:rFonts w:ascii="Times New Roman" w:hAnsi="Times New Roman"/>
          <w:szCs w:val="28"/>
        </w:rPr>
        <w:lastRenderedPageBreak/>
        <w:t>15</w:t>
      </w:r>
      <w:r w:rsidR="00E67845">
        <w:rPr>
          <w:rFonts w:ascii="Times New Roman" w:hAnsi="Times New Roman"/>
          <w:szCs w:val="28"/>
        </w:rPr>
        <w:t xml:space="preserve"> </w:t>
      </w:r>
      <w:r w:rsidR="00E67845">
        <w:rPr>
          <w:rFonts w:ascii="Times New Roman" w:eastAsia="Calibri" w:hAnsi="Times New Roman"/>
          <w:szCs w:val="28"/>
        </w:rPr>
        <w:t>процентов</w:t>
      </w:r>
      <w:r w:rsidRPr="007C5168">
        <w:rPr>
          <w:rFonts w:ascii="Times New Roman" w:hAnsi="Times New Roman"/>
          <w:szCs w:val="28"/>
        </w:rPr>
        <w:t xml:space="preserve"> с сумм в пределах ЕПВБ и 7,6</w:t>
      </w:r>
      <w:r w:rsidR="00E67845">
        <w:rPr>
          <w:rFonts w:ascii="Times New Roman" w:hAnsi="Times New Roman"/>
          <w:szCs w:val="28"/>
        </w:rPr>
        <w:t xml:space="preserve"> </w:t>
      </w:r>
      <w:r w:rsidR="00E67845">
        <w:rPr>
          <w:rFonts w:ascii="Times New Roman" w:eastAsia="Calibri" w:hAnsi="Times New Roman"/>
          <w:szCs w:val="28"/>
        </w:rPr>
        <w:t>процентов</w:t>
      </w:r>
      <w:r w:rsidRPr="007C5168">
        <w:rPr>
          <w:rFonts w:ascii="Times New Roman" w:hAnsi="Times New Roman"/>
          <w:szCs w:val="28"/>
        </w:rPr>
        <w:t xml:space="preserve"> с сумм свыше ЕПВБ для социально ориентированных некоммерческих организаций и благотворительных организаций, применяющих упрощенную систему налогообложения.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szCs w:val="28"/>
        </w:rPr>
      </w:pPr>
      <w:r w:rsidRPr="007C5168">
        <w:rPr>
          <w:rFonts w:ascii="Times New Roman" w:hAnsi="Times New Roman"/>
          <w:szCs w:val="28"/>
        </w:rPr>
        <w:t>7. Освобождение от обязанности индивидуальных предпринимателей, адвокатов, нотариусов и иных лиц, занимающихся частной практикой, исчислять и уплачивать страховые взносы за периоды прохождения военной службы по контрактам, заключенным для участия в специальной военной операции, независимо от срока их действия.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szCs w:val="28"/>
        </w:rPr>
      </w:pPr>
      <w:r w:rsidRPr="007C5168">
        <w:rPr>
          <w:rFonts w:ascii="Times New Roman" w:hAnsi="Times New Roman"/>
          <w:szCs w:val="28"/>
        </w:rPr>
        <w:t xml:space="preserve">8. </w:t>
      </w:r>
      <w:r w:rsidRPr="007C5168">
        <w:rPr>
          <w:rFonts w:ascii="Times New Roman" w:eastAsia="Calibri" w:hAnsi="Times New Roman"/>
          <w:szCs w:val="28"/>
        </w:rPr>
        <w:t>Исключение возможности применения льгот по страховым взносам для всех МСП независимо от вида осуществляемой деятельности с сохранением пониженного тарифа страховых взносов только для субъектов предпринимательской деятельности в приоритетных отраслях, по перечню видов деятельности, определяемому Правительством Российской Федерации.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szCs w:val="28"/>
        </w:rPr>
      </w:pPr>
      <w:r w:rsidRPr="007C5168">
        <w:rPr>
          <w:rFonts w:ascii="Times New Roman" w:hAnsi="Times New Roman"/>
          <w:szCs w:val="28"/>
        </w:rPr>
        <w:t>9. Уточнение момента начала применения единых пониженных тарифов страховых взносов ИТ-организациями и организациями, осуществляющими деятельность в сфере радиоэлектронной промышленности (при соблюдении условия о доле доходов от профильной деятельности - с месяца получения документа о государственной аккредитации ИТ-организации (с месяца включения в реестр организаций, осуществляющих деятельность в сфере радиоэлектронной промышленности).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szCs w:val="28"/>
        </w:rPr>
      </w:pPr>
      <w:r w:rsidRPr="007C5168">
        <w:rPr>
          <w:rFonts w:ascii="Times New Roman" w:hAnsi="Times New Roman"/>
          <w:szCs w:val="28"/>
        </w:rPr>
        <w:t xml:space="preserve">10. Определение порядка уплаты страховых взносов на обязательное пенсионное и медицинское страхование индивидуальными предпринимателями, в том числе применяющими специальный налоговый режим </w:t>
      </w:r>
      <w:r w:rsidR="007C5168">
        <w:rPr>
          <w:rFonts w:ascii="Times New Roman" w:hAnsi="Times New Roman"/>
          <w:szCs w:val="28"/>
        </w:rPr>
        <w:br/>
      </w:r>
      <w:r w:rsidRPr="007C5168">
        <w:rPr>
          <w:rFonts w:ascii="Times New Roman" w:hAnsi="Times New Roman"/>
          <w:szCs w:val="28"/>
        </w:rPr>
        <w:t>и осуществляющими одновременно иную установленную законодательством Российской Федерации профессиональную деятельность, не являющуюся предпринимательской.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szCs w:val="28"/>
        </w:rPr>
      </w:pPr>
      <w:r w:rsidRPr="007C5168">
        <w:rPr>
          <w:rFonts w:ascii="Times New Roman" w:hAnsi="Times New Roman"/>
          <w:szCs w:val="28"/>
        </w:rPr>
        <w:t>11. Изменение порядка определения базы для исчисления страховых взносов на обязательное пенсионное страхование индивидуальными предпринимателями, применяющими упрощенную систему налогообложения</w:t>
      </w:r>
      <w:r w:rsidR="007C5168">
        <w:rPr>
          <w:rFonts w:ascii="Times New Roman" w:hAnsi="Times New Roman"/>
          <w:szCs w:val="28"/>
        </w:rPr>
        <w:br/>
      </w:r>
      <w:r w:rsidRPr="007C5168">
        <w:rPr>
          <w:rFonts w:ascii="Times New Roman" w:hAnsi="Times New Roman"/>
          <w:szCs w:val="28"/>
        </w:rPr>
        <w:t xml:space="preserve">с объектом налогообложения </w:t>
      </w:r>
      <w:r w:rsidR="007C5168" w:rsidRPr="007C5168">
        <w:rPr>
          <w:rFonts w:ascii="Times New Roman" w:hAnsi="Times New Roman"/>
          <w:szCs w:val="28"/>
        </w:rPr>
        <w:t>"</w:t>
      </w:r>
      <w:r w:rsidRPr="007C5168">
        <w:rPr>
          <w:rFonts w:ascii="Times New Roman" w:hAnsi="Times New Roman"/>
          <w:szCs w:val="28"/>
        </w:rPr>
        <w:t>доходы, уменьшенные на величину расходов</w:t>
      </w:r>
      <w:r w:rsidR="007C5168" w:rsidRPr="007C5168">
        <w:rPr>
          <w:rFonts w:ascii="Times New Roman" w:hAnsi="Times New Roman"/>
          <w:szCs w:val="28"/>
        </w:rPr>
        <w:t>"</w:t>
      </w:r>
      <w:r w:rsidRPr="007C5168">
        <w:rPr>
          <w:rFonts w:ascii="Times New Roman" w:hAnsi="Times New Roman"/>
          <w:szCs w:val="28"/>
        </w:rPr>
        <w:t xml:space="preserve">, систему налогообложения для сельскохозяйственных товаропроизводителей (единый сельскохозяйственный налог), в части определения величины дохода </w:t>
      </w:r>
      <w:r w:rsidR="007C5168">
        <w:rPr>
          <w:rFonts w:ascii="Times New Roman" w:hAnsi="Times New Roman"/>
          <w:szCs w:val="28"/>
        </w:rPr>
        <w:br/>
      </w:r>
      <w:r w:rsidRPr="007C5168">
        <w:rPr>
          <w:rFonts w:ascii="Times New Roman" w:hAnsi="Times New Roman"/>
          <w:szCs w:val="28"/>
        </w:rPr>
        <w:t xml:space="preserve">в размере, рассчитываемом как </w:t>
      </w:r>
      <w:r w:rsidR="007C5168" w:rsidRPr="007C5168">
        <w:rPr>
          <w:rFonts w:ascii="Times New Roman" w:hAnsi="Times New Roman"/>
          <w:szCs w:val="28"/>
        </w:rPr>
        <w:t>"</w:t>
      </w:r>
      <w:r w:rsidRPr="007C5168">
        <w:rPr>
          <w:rFonts w:ascii="Times New Roman" w:hAnsi="Times New Roman"/>
          <w:szCs w:val="28"/>
        </w:rPr>
        <w:t>сумма доходов, уменьшенная на сумму расходов</w:t>
      </w:r>
      <w:r w:rsidR="007C5168" w:rsidRPr="007C5168">
        <w:rPr>
          <w:rFonts w:ascii="Times New Roman" w:hAnsi="Times New Roman"/>
          <w:szCs w:val="28"/>
        </w:rPr>
        <w:t>"</w:t>
      </w:r>
      <w:r w:rsidRPr="007C5168">
        <w:rPr>
          <w:rFonts w:ascii="Times New Roman" w:hAnsi="Times New Roman"/>
          <w:szCs w:val="28"/>
        </w:rPr>
        <w:t>.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b/>
          <w:bCs/>
          <w:szCs w:val="28"/>
        </w:rPr>
      </w:pPr>
      <w:r w:rsidRPr="007C5168">
        <w:rPr>
          <w:rFonts w:ascii="Times New Roman" w:hAnsi="Times New Roman"/>
          <w:b/>
          <w:bCs/>
          <w:szCs w:val="28"/>
        </w:rPr>
        <w:t>14. В части международного налогообложения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bCs/>
          <w:szCs w:val="28"/>
        </w:rPr>
      </w:pPr>
      <w:r w:rsidRPr="007C5168">
        <w:rPr>
          <w:rFonts w:ascii="Times New Roman" w:hAnsi="Times New Roman"/>
          <w:bCs/>
          <w:szCs w:val="28"/>
        </w:rPr>
        <w:t>1. С 1</w:t>
      </w:r>
      <w:r w:rsidR="007C5168">
        <w:rPr>
          <w:rFonts w:ascii="Times New Roman" w:hAnsi="Times New Roman"/>
          <w:bCs/>
          <w:szCs w:val="28"/>
        </w:rPr>
        <w:t> </w:t>
      </w:r>
      <w:r w:rsidRPr="007C5168">
        <w:rPr>
          <w:rFonts w:ascii="Times New Roman" w:hAnsi="Times New Roman"/>
          <w:bCs/>
          <w:szCs w:val="28"/>
        </w:rPr>
        <w:t>января 2024</w:t>
      </w:r>
      <w:r w:rsidR="007C5168">
        <w:rPr>
          <w:rFonts w:ascii="Times New Roman" w:hAnsi="Times New Roman"/>
          <w:bCs/>
          <w:szCs w:val="28"/>
        </w:rPr>
        <w:t> </w:t>
      </w:r>
      <w:r w:rsidRPr="007C5168">
        <w:rPr>
          <w:rFonts w:ascii="Times New Roman" w:hAnsi="Times New Roman"/>
          <w:bCs/>
          <w:szCs w:val="28"/>
        </w:rPr>
        <w:t>г</w:t>
      </w:r>
      <w:r w:rsidR="007C5168">
        <w:rPr>
          <w:rFonts w:ascii="Times New Roman" w:hAnsi="Times New Roman"/>
          <w:bCs/>
          <w:szCs w:val="28"/>
        </w:rPr>
        <w:t>.</w:t>
      </w:r>
      <w:r w:rsidRPr="007C5168">
        <w:rPr>
          <w:rFonts w:ascii="Times New Roman" w:hAnsi="Times New Roman"/>
          <w:bCs/>
          <w:szCs w:val="28"/>
        </w:rPr>
        <w:t xml:space="preserve"> большинство стран </w:t>
      </w:r>
      <w:r w:rsidR="007C5168" w:rsidRPr="007C5168">
        <w:rPr>
          <w:rFonts w:ascii="Times New Roman" w:hAnsi="Times New Roman"/>
          <w:bCs/>
          <w:szCs w:val="28"/>
        </w:rPr>
        <w:t>-</w:t>
      </w:r>
      <w:r w:rsidRPr="007C5168">
        <w:rPr>
          <w:rFonts w:ascii="Times New Roman" w:hAnsi="Times New Roman"/>
          <w:bCs/>
          <w:szCs w:val="28"/>
        </w:rPr>
        <w:t xml:space="preserve"> членов Организации экономического сотрудничества и развития (далее </w:t>
      </w:r>
      <w:r w:rsidR="007C5168" w:rsidRPr="007C5168">
        <w:rPr>
          <w:rFonts w:ascii="Times New Roman" w:hAnsi="Times New Roman"/>
          <w:bCs/>
          <w:szCs w:val="28"/>
        </w:rPr>
        <w:t>-</w:t>
      </w:r>
      <w:r w:rsidRPr="007C5168">
        <w:rPr>
          <w:rFonts w:ascii="Times New Roman" w:hAnsi="Times New Roman"/>
          <w:bCs/>
          <w:szCs w:val="28"/>
        </w:rPr>
        <w:t xml:space="preserve"> ОЭСР) ввели в действие правила минимального налогообложения прибыли международных групп </w:t>
      </w:r>
      <w:r w:rsidRPr="007C5168">
        <w:rPr>
          <w:rFonts w:ascii="Times New Roman" w:hAnsi="Times New Roman"/>
          <w:bCs/>
          <w:szCs w:val="28"/>
        </w:rPr>
        <w:lastRenderedPageBreak/>
        <w:t xml:space="preserve">компаний (далее соответственно </w:t>
      </w:r>
      <w:r w:rsidR="007C5168" w:rsidRPr="007C5168">
        <w:rPr>
          <w:rFonts w:ascii="Times New Roman" w:hAnsi="Times New Roman"/>
          <w:bCs/>
          <w:szCs w:val="28"/>
        </w:rPr>
        <w:t>-</w:t>
      </w:r>
      <w:r w:rsidRPr="007C5168">
        <w:rPr>
          <w:rFonts w:ascii="Times New Roman" w:hAnsi="Times New Roman"/>
          <w:bCs/>
          <w:szCs w:val="28"/>
        </w:rPr>
        <w:t xml:space="preserve"> Правила минимального налогообложения, МГК). 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bCs/>
          <w:szCs w:val="28"/>
        </w:rPr>
      </w:pPr>
      <w:r w:rsidRPr="007C5168">
        <w:rPr>
          <w:rFonts w:ascii="Times New Roman" w:hAnsi="Times New Roman"/>
          <w:bCs/>
          <w:szCs w:val="28"/>
        </w:rPr>
        <w:t xml:space="preserve">В этой связи в целях реализации принципов, лежащих в основе Правил минимального налогообложения устанавливается порядок уплаты налога </w:t>
      </w:r>
      <w:r w:rsidR="007C5168">
        <w:rPr>
          <w:rFonts w:ascii="Times New Roman" w:hAnsi="Times New Roman"/>
          <w:bCs/>
          <w:szCs w:val="28"/>
        </w:rPr>
        <w:br/>
      </w:r>
      <w:r w:rsidRPr="007C5168">
        <w:rPr>
          <w:rFonts w:ascii="Times New Roman" w:hAnsi="Times New Roman"/>
          <w:bCs/>
          <w:szCs w:val="28"/>
        </w:rPr>
        <w:t>на прибыль организаций российскими участникам МГК в размере, необходимом для достижения минимального уровня налогообложения.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bCs/>
          <w:szCs w:val="28"/>
        </w:rPr>
      </w:pPr>
      <w:r w:rsidRPr="007C5168">
        <w:rPr>
          <w:rFonts w:ascii="Times New Roman" w:hAnsi="Times New Roman"/>
          <w:bCs/>
          <w:szCs w:val="28"/>
        </w:rPr>
        <w:t xml:space="preserve">2. С целью предотвращения ошибочного расширительного толкования пункта 2 статьи 309 Кодекса и исключения применения освобождения </w:t>
      </w:r>
      <w:r w:rsidR="007C5168">
        <w:rPr>
          <w:rFonts w:ascii="Times New Roman" w:hAnsi="Times New Roman"/>
          <w:bCs/>
          <w:szCs w:val="28"/>
        </w:rPr>
        <w:br/>
      </w:r>
      <w:r w:rsidRPr="007C5168">
        <w:rPr>
          <w:rFonts w:ascii="Times New Roman" w:hAnsi="Times New Roman"/>
          <w:bCs/>
          <w:szCs w:val="28"/>
        </w:rPr>
        <w:t>от налогообложения у источника к доходам, которые являются налогооблагаемыми доходами согласно положениям пункта 1 статьи 309 Кодекса, например, к доходам от международных перевозок, предлагаются технические изменения, которые не меняют действующее правовое регулирование, заключающееся в том, что все доходы, поименованные в пункте 1 статьи 309 Кодекса, являются безусловно облагаемыми налогом у источника выплаты, и к ним не применяется освобождение, предусмотренное пунктом 2 статьи 309 Кодекса.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bCs/>
          <w:szCs w:val="28"/>
        </w:rPr>
      </w:pPr>
      <w:r w:rsidRPr="007C5168">
        <w:rPr>
          <w:rFonts w:ascii="Times New Roman" w:hAnsi="Times New Roman"/>
          <w:bCs/>
          <w:szCs w:val="28"/>
        </w:rPr>
        <w:t>Положения законопроекта не противоречат Договору о Евразийском экономическом союзе и иным международным договорам Российской Федерации.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bCs/>
          <w:szCs w:val="28"/>
        </w:rPr>
      </w:pPr>
      <w:r w:rsidRPr="007C5168">
        <w:rPr>
          <w:rFonts w:ascii="Times New Roman" w:hAnsi="Times New Roman"/>
          <w:bCs/>
          <w:szCs w:val="28"/>
        </w:rPr>
        <w:t xml:space="preserve">В законопроекте отсутствуют требования, которые связаны </w:t>
      </w:r>
      <w:r w:rsidR="007C5168">
        <w:rPr>
          <w:rFonts w:ascii="Times New Roman" w:hAnsi="Times New Roman"/>
          <w:bCs/>
          <w:szCs w:val="28"/>
        </w:rPr>
        <w:br/>
      </w:r>
      <w:r w:rsidRPr="007C5168">
        <w:rPr>
          <w:rFonts w:ascii="Times New Roman" w:hAnsi="Times New Roman"/>
          <w:bCs/>
          <w:szCs w:val="28"/>
        </w:rPr>
        <w:t xml:space="preserve">с осуществлением предпринимательской и иной экономической деятельности </w:t>
      </w:r>
      <w:r w:rsidR="007C5168">
        <w:rPr>
          <w:rFonts w:ascii="Times New Roman" w:hAnsi="Times New Roman"/>
          <w:bCs/>
          <w:szCs w:val="28"/>
        </w:rPr>
        <w:br/>
      </w:r>
      <w:r w:rsidRPr="007C5168">
        <w:rPr>
          <w:rFonts w:ascii="Times New Roman" w:hAnsi="Times New Roman"/>
          <w:bCs/>
          <w:szCs w:val="28"/>
        </w:rPr>
        <w:t xml:space="preserve">и оценка соблюдения которых осуществляется в рамках государственного контроля (надзора), муниципального контроля, привлечения </w:t>
      </w:r>
      <w:r w:rsidR="007C5168">
        <w:rPr>
          <w:rFonts w:ascii="Times New Roman" w:hAnsi="Times New Roman"/>
          <w:bCs/>
          <w:szCs w:val="28"/>
        </w:rPr>
        <w:br/>
      </w:r>
      <w:r w:rsidRPr="007C5168">
        <w:rPr>
          <w:rFonts w:ascii="Times New Roman" w:hAnsi="Times New Roman"/>
          <w:bCs/>
          <w:szCs w:val="28"/>
        </w:rPr>
        <w:t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4069CB" w:rsidRPr="007C5168" w:rsidRDefault="00E877DE" w:rsidP="007C5168">
      <w:pPr>
        <w:tabs>
          <w:tab w:val="left" w:pos="568"/>
        </w:tabs>
        <w:ind w:firstLine="709"/>
        <w:rPr>
          <w:rFonts w:ascii="Times New Roman" w:hAnsi="Times New Roman"/>
          <w:bCs/>
          <w:szCs w:val="28"/>
        </w:rPr>
      </w:pPr>
      <w:r w:rsidRPr="007C5168">
        <w:rPr>
          <w:rFonts w:ascii="Times New Roman" w:hAnsi="Times New Roman"/>
          <w:bCs/>
          <w:szCs w:val="28"/>
        </w:rPr>
        <w:t xml:space="preserve">Реализация </w:t>
      </w:r>
      <w:r w:rsidR="00F83C1F">
        <w:rPr>
          <w:rFonts w:ascii="Times New Roman" w:hAnsi="Times New Roman"/>
          <w:bCs/>
          <w:szCs w:val="28"/>
        </w:rPr>
        <w:t xml:space="preserve">положений </w:t>
      </w:r>
      <w:r w:rsidRPr="007C5168">
        <w:rPr>
          <w:rFonts w:ascii="Times New Roman" w:hAnsi="Times New Roman"/>
          <w:bCs/>
          <w:szCs w:val="28"/>
        </w:rPr>
        <w:t xml:space="preserve">законопроекта не повлечет негативных социально-экономических, финансовых и иных последствий и не окажет влияние </w:t>
      </w:r>
      <w:r w:rsidR="007C5168">
        <w:rPr>
          <w:rFonts w:ascii="Times New Roman" w:hAnsi="Times New Roman"/>
          <w:bCs/>
          <w:szCs w:val="28"/>
        </w:rPr>
        <w:br/>
      </w:r>
      <w:r w:rsidRPr="007C5168">
        <w:rPr>
          <w:rFonts w:ascii="Times New Roman" w:hAnsi="Times New Roman"/>
          <w:bCs/>
          <w:szCs w:val="28"/>
        </w:rPr>
        <w:t>на достижение целей государственных программ Российской Федерации.</w:t>
      </w:r>
    </w:p>
    <w:p w:rsidR="004069CB" w:rsidRPr="007C5168" w:rsidRDefault="00E877DE" w:rsidP="007C5168">
      <w:pPr>
        <w:pStyle w:val="ad"/>
        <w:keepNext w:val="0"/>
        <w:keepLines w:val="0"/>
        <w:tabs>
          <w:tab w:val="clear" w:pos="993"/>
          <w:tab w:val="left" w:pos="568"/>
        </w:tabs>
        <w:spacing w:line="360" w:lineRule="atLeast"/>
        <w:contextualSpacing w:val="0"/>
        <w:rPr>
          <w:rFonts w:eastAsiaTheme="minorHAnsi"/>
          <w:bCs/>
        </w:rPr>
      </w:pPr>
      <w:r w:rsidRPr="007C5168">
        <w:rPr>
          <w:rFonts w:eastAsiaTheme="minorHAnsi"/>
          <w:bCs/>
        </w:rPr>
        <w:t xml:space="preserve">Аналогичные по содержанию проекты федеральных законов в настоящее время в палатах Федерального Собрания Российской Федерации </w:t>
      </w:r>
      <w:r w:rsidR="007C5168">
        <w:rPr>
          <w:rFonts w:eastAsiaTheme="minorHAnsi"/>
          <w:bCs/>
        </w:rPr>
        <w:br/>
      </w:r>
      <w:r w:rsidRPr="007C5168">
        <w:rPr>
          <w:rFonts w:eastAsiaTheme="minorHAnsi"/>
          <w:bCs/>
        </w:rPr>
        <w:t>на рассмотрении не находятся.</w:t>
      </w:r>
    </w:p>
    <w:p w:rsidR="004A75E5" w:rsidRPr="007C5168" w:rsidRDefault="004A75E5" w:rsidP="00C96243">
      <w:pPr>
        <w:ind w:firstLine="709"/>
        <w:rPr>
          <w:rFonts w:ascii="Times New Roman" w:hAnsi="Times New Roman"/>
          <w:szCs w:val="28"/>
        </w:rPr>
      </w:pPr>
    </w:p>
    <w:p w:rsidR="00AB4C1F" w:rsidRPr="007C5168" w:rsidRDefault="00AB4C1F" w:rsidP="00C96243">
      <w:pPr>
        <w:ind w:firstLine="709"/>
        <w:rPr>
          <w:rFonts w:ascii="Times New Roman" w:hAnsi="Times New Roman"/>
          <w:szCs w:val="28"/>
        </w:rPr>
        <w:sectPr w:rsidR="00AB4C1F" w:rsidRPr="007C5168" w:rsidSect="007C5168">
          <w:headerReference w:type="default" r:id="rId9"/>
          <w:footerReference w:type="default" r:id="rId10"/>
          <w:footerReference w:type="first" r:id="rId11"/>
          <w:pgSz w:w="11907" w:h="16840" w:code="9"/>
          <w:pgMar w:top="1418" w:right="737" w:bottom="1418" w:left="1418" w:header="709" w:footer="1134" w:gutter="0"/>
          <w:cols w:space="720"/>
          <w:titlePg/>
          <w:docGrid w:linePitch="381"/>
        </w:sectPr>
      </w:pPr>
    </w:p>
    <w:p w:rsidR="00AB4C1F" w:rsidRPr="007C5168" w:rsidRDefault="00AB4C1F" w:rsidP="00C96243">
      <w:pPr>
        <w:ind w:firstLine="709"/>
        <w:rPr>
          <w:rFonts w:ascii="Times New Roman" w:hAnsi="Times New Roman"/>
          <w:szCs w:val="28"/>
        </w:rPr>
      </w:pPr>
    </w:p>
    <w:sectPr w:rsidR="00AB4C1F" w:rsidRPr="007C5168" w:rsidSect="007514FA">
      <w:type w:val="continuous"/>
      <w:pgSz w:w="11907" w:h="16840" w:code="9"/>
      <w:pgMar w:top="-360" w:right="737" w:bottom="1418" w:left="1418" w:header="15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3E" w:rsidRDefault="00411E3E">
      <w:pPr>
        <w:spacing w:line="240" w:lineRule="auto"/>
      </w:pPr>
      <w:r>
        <w:separator/>
      </w:r>
    </w:p>
  </w:endnote>
  <w:endnote w:type="continuationSeparator" w:id="0">
    <w:p w:rsidR="00411E3E" w:rsidRDefault="00411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pPr w:leftFromText="181" w:rightFromText="181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3166"/>
    </w:tblGrid>
    <w:tr w:rsidR="00492BB1" w:rsidTr="002F660E"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6B3CDE" w:rsidRDefault="00E877DE" w:rsidP="006B3CDE">
          <w:pPr>
            <w:pStyle w:val="a5"/>
            <w:jc w:val="center"/>
            <w:rPr>
              <w:sz w:val="20"/>
              <w:lang w:val="en-US"/>
            </w:rPr>
          </w:pPr>
          <w:r>
            <w:rPr>
              <w:sz w:val="20"/>
              <w:lang w:val="en-US"/>
            </w:rPr>
            <w:t>2537444-Уч-2024 (7.1)</w:t>
          </w:r>
        </w:p>
      </w:tc>
    </w:tr>
    <w:tr w:rsidR="00492BB1" w:rsidTr="002F660E"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hideMark/>
        </w:tcPr>
        <w:p w:rsidR="006B3CDE" w:rsidRDefault="00E877DE" w:rsidP="006B3CDE">
          <w:pPr>
            <w:pStyle w:val="a5"/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 wp14:anchorId="02DAB0B8" wp14:editId="1ABA2803">
                <wp:simplePos x="0" y="0"/>
                <wp:positionH relativeFrom="page">
                  <wp:posOffset>72390</wp:posOffset>
                </wp:positionH>
                <wp:positionV relativeFrom="page">
                  <wp:posOffset>14605</wp:posOffset>
                </wp:positionV>
                <wp:extent cx="1905000" cy="476250"/>
                <wp:effectExtent l="0" t="0" r="635" b="8255"/>
                <wp:wrapNone/>
                <wp:docPr id="6" name="Text Box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A63C78" w:rsidRDefault="00A63C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pPr w:leftFromText="181" w:rightFromText="181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3166"/>
    </w:tblGrid>
    <w:tr w:rsidR="00492BB1" w:rsidTr="003C3B7D"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802F2D" w:rsidRDefault="00E877DE" w:rsidP="003C3B7D">
          <w:pPr>
            <w:pStyle w:val="a5"/>
            <w:jc w:val="center"/>
            <w:rPr>
              <w:sz w:val="20"/>
              <w:lang w:val="en-US"/>
            </w:rPr>
          </w:pPr>
          <w:r>
            <w:rPr>
              <w:sz w:val="20"/>
              <w:lang w:val="en-US"/>
            </w:rPr>
            <w:t>2537444-Уч-2024 (7.1)</w:t>
          </w:r>
        </w:p>
      </w:tc>
    </w:tr>
    <w:tr w:rsidR="00492BB1" w:rsidTr="003C3B7D"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hideMark/>
        </w:tcPr>
        <w:p w:rsidR="00802F2D" w:rsidRDefault="00E877DE" w:rsidP="003C3B7D">
          <w:pPr>
            <w:pStyle w:val="a5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729DB229" wp14:editId="26C8D325">
                <wp:simplePos x="0" y="0"/>
                <wp:positionH relativeFrom="page">
                  <wp:posOffset>72390</wp:posOffset>
                </wp:positionH>
                <wp:positionV relativeFrom="page">
                  <wp:posOffset>14605</wp:posOffset>
                </wp:positionV>
                <wp:extent cx="1905000" cy="476250"/>
                <wp:effectExtent l="0" t="0" r="635" b="8255"/>
                <wp:wrapNone/>
                <wp:docPr id="3" name="Text Box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802F2D" w:rsidRDefault="00802F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3E" w:rsidRDefault="00411E3E">
      <w:pPr>
        <w:spacing w:line="240" w:lineRule="auto"/>
      </w:pPr>
      <w:r>
        <w:separator/>
      </w:r>
    </w:p>
  </w:footnote>
  <w:footnote w:type="continuationSeparator" w:id="0">
    <w:p w:rsidR="00411E3E" w:rsidRDefault="00411E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68" w:rsidRDefault="00E877DE" w:rsidP="009E246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1A4E">
      <w:rPr>
        <w:rStyle w:val="a7"/>
        <w:noProof/>
      </w:rPr>
      <w:t>13</w:t>
    </w:r>
    <w:r>
      <w:rPr>
        <w:rStyle w:val="a7"/>
      </w:rPr>
      <w:fldChar w:fldCharType="end"/>
    </w:r>
  </w:p>
  <w:p w:rsidR="006B54EE" w:rsidRPr="009E2468" w:rsidRDefault="006B54EE" w:rsidP="009E24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239A4"/>
    <w:multiLevelType w:val="hybridMultilevel"/>
    <w:tmpl w:val="28ACCFB8"/>
    <w:lvl w:ilvl="0" w:tplc="5C045C84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  <w:b/>
      </w:rPr>
    </w:lvl>
    <w:lvl w:ilvl="1" w:tplc="987EAC10">
      <w:start w:val="1"/>
      <w:numFmt w:val="decimal"/>
      <w:lvlText w:val="6.%2."/>
      <w:lvlJc w:val="left"/>
      <w:pPr>
        <w:ind w:left="1648" w:hanging="360"/>
      </w:pPr>
      <w:rPr>
        <w:rFonts w:hint="default"/>
      </w:rPr>
    </w:lvl>
    <w:lvl w:ilvl="2" w:tplc="51AEF51C" w:tentative="1">
      <w:start w:val="1"/>
      <w:numFmt w:val="lowerRoman"/>
      <w:lvlText w:val="%3."/>
      <w:lvlJc w:val="right"/>
      <w:pPr>
        <w:ind w:left="2368" w:hanging="180"/>
      </w:pPr>
    </w:lvl>
    <w:lvl w:ilvl="3" w:tplc="BB08B5D8" w:tentative="1">
      <w:start w:val="1"/>
      <w:numFmt w:val="decimal"/>
      <w:lvlText w:val="%4."/>
      <w:lvlJc w:val="left"/>
      <w:pPr>
        <w:ind w:left="3088" w:hanging="360"/>
      </w:pPr>
    </w:lvl>
    <w:lvl w:ilvl="4" w:tplc="CF3A9C4E" w:tentative="1">
      <w:start w:val="1"/>
      <w:numFmt w:val="lowerLetter"/>
      <w:lvlText w:val="%5."/>
      <w:lvlJc w:val="left"/>
      <w:pPr>
        <w:ind w:left="3808" w:hanging="360"/>
      </w:pPr>
    </w:lvl>
    <w:lvl w:ilvl="5" w:tplc="D4823978" w:tentative="1">
      <w:start w:val="1"/>
      <w:numFmt w:val="lowerRoman"/>
      <w:lvlText w:val="%6."/>
      <w:lvlJc w:val="right"/>
      <w:pPr>
        <w:ind w:left="4528" w:hanging="180"/>
      </w:pPr>
    </w:lvl>
    <w:lvl w:ilvl="6" w:tplc="352AF15E" w:tentative="1">
      <w:start w:val="1"/>
      <w:numFmt w:val="decimal"/>
      <w:lvlText w:val="%7."/>
      <w:lvlJc w:val="left"/>
      <w:pPr>
        <w:ind w:left="5248" w:hanging="360"/>
      </w:pPr>
    </w:lvl>
    <w:lvl w:ilvl="7" w:tplc="4EE29C48" w:tentative="1">
      <w:start w:val="1"/>
      <w:numFmt w:val="lowerLetter"/>
      <w:lvlText w:val="%8."/>
      <w:lvlJc w:val="left"/>
      <w:pPr>
        <w:ind w:left="5968" w:hanging="360"/>
      </w:pPr>
    </w:lvl>
    <w:lvl w:ilvl="8" w:tplc="E99CA38A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6CA78D0"/>
    <w:multiLevelType w:val="hybridMultilevel"/>
    <w:tmpl w:val="37BC958C"/>
    <w:lvl w:ilvl="0" w:tplc="89CE16F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449ED872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E508AD8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ECC28716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B72A68E8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70629BA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4585E28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C33C4C2A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6D664F94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7F1355E9"/>
    <w:multiLevelType w:val="hybridMultilevel"/>
    <w:tmpl w:val="A9B04EFC"/>
    <w:lvl w:ilvl="0" w:tplc="2B302B6E">
      <w:start w:val="1"/>
      <w:numFmt w:val="bullet"/>
      <w:suff w:val="space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449ED872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E508AD8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ECC28716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B72A68E8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70629BA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4585E28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C33C4C2A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6D664F94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comment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A6"/>
    <w:rsid w:val="00041F37"/>
    <w:rsid w:val="000A30F0"/>
    <w:rsid w:val="000E7066"/>
    <w:rsid w:val="00110FA1"/>
    <w:rsid w:val="00112200"/>
    <w:rsid w:val="0015564A"/>
    <w:rsid w:val="00156600"/>
    <w:rsid w:val="00193FC4"/>
    <w:rsid w:val="001A2805"/>
    <w:rsid w:val="001A2E31"/>
    <w:rsid w:val="00305A16"/>
    <w:rsid w:val="003242D2"/>
    <w:rsid w:val="003475C3"/>
    <w:rsid w:val="0036217A"/>
    <w:rsid w:val="003841D5"/>
    <w:rsid w:val="003911D5"/>
    <w:rsid w:val="003B6F1E"/>
    <w:rsid w:val="003C3B7D"/>
    <w:rsid w:val="003F4514"/>
    <w:rsid w:val="004069CB"/>
    <w:rsid w:val="00411E3E"/>
    <w:rsid w:val="004439E8"/>
    <w:rsid w:val="00492BB1"/>
    <w:rsid w:val="004A75E5"/>
    <w:rsid w:val="004B3CE4"/>
    <w:rsid w:val="004B70CA"/>
    <w:rsid w:val="004E7017"/>
    <w:rsid w:val="005230B7"/>
    <w:rsid w:val="0055166E"/>
    <w:rsid w:val="00556A8B"/>
    <w:rsid w:val="005802B5"/>
    <w:rsid w:val="00581005"/>
    <w:rsid w:val="00592C09"/>
    <w:rsid w:val="006034B2"/>
    <w:rsid w:val="00610B10"/>
    <w:rsid w:val="00642694"/>
    <w:rsid w:val="00646649"/>
    <w:rsid w:val="0066078F"/>
    <w:rsid w:val="006803BE"/>
    <w:rsid w:val="00690DAC"/>
    <w:rsid w:val="006B3CDE"/>
    <w:rsid w:val="006B54EE"/>
    <w:rsid w:val="007514FA"/>
    <w:rsid w:val="007C5168"/>
    <w:rsid w:val="00802F2D"/>
    <w:rsid w:val="008114AC"/>
    <w:rsid w:val="0089587B"/>
    <w:rsid w:val="008F50E1"/>
    <w:rsid w:val="00902083"/>
    <w:rsid w:val="009204B9"/>
    <w:rsid w:val="009973BF"/>
    <w:rsid w:val="009D1F78"/>
    <w:rsid w:val="009E2468"/>
    <w:rsid w:val="00A055C6"/>
    <w:rsid w:val="00A63C78"/>
    <w:rsid w:val="00A97EEE"/>
    <w:rsid w:val="00AA7EEC"/>
    <w:rsid w:val="00AB4C1F"/>
    <w:rsid w:val="00AB6422"/>
    <w:rsid w:val="00AC313C"/>
    <w:rsid w:val="00AF5B4A"/>
    <w:rsid w:val="00AF7439"/>
    <w:rsid w:val="00B37DF3"/>
    <w:rsid w:val="00C0507C"/>
    <w:rsid w:val="00C96243"/>
    <w:rsid w:val="00D205A9"/>
    <w:rsid w:val="00D46473"/>
    <w:rsid w:val="00D655A6"/>
    <w:rsid w:val="00DC194B"/>
    <w:rsid w:val="00DE3D57"/>
    <w:rsid w:val="00DF0E14"/>
    <w:rsid w:val="00E06FAB"/>
    <w:rsid w:val="00E67845"/>
    <w:rsid w:val="00E877DE"/>
    <w:rsid w:val="00EB2C71"/>
    <w:rsid w:val="00F04A80"/>
    <w:rsid w:val="00F31A4E"/>
    <w:rsid w:val="00F512C7"/>
    <w:rsid w:val="00F55ADD"/>
    <w:rsid w:val="00F83C1F"/>
    <w:rsid w:val="00FE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1F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4C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4C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B4C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B4C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AB4C1F"/>
  </w:style>
  <w:style w:type="table" w:styleId="a8">
    <w:name w:val="Table Grid"/>
    <w:basedOn w:val="a1"/>
    <w:rsid w:val="00AB4C1F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аименование вида документа"/>
    <w:qFormat/>
    <w:rsid w:val="00AB4C1F"/>
    <w:pPr>
      <w:spacing w:before="480" w:after="0" w:line="259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a">
    <w:name w:val="Заголовок ФЗ"/>
    <w:qFormat/>
    <w:rsid w:val="00AB4C1F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5802B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unhideWhenUsed/>
    <w:rsid w:val="005802B5"/>
    <w:pPr>
      <w:keepNext/>
      <w:keepLines/>
      <w:tabs>
        <w:tab w:val="left" w:pos="993"/>
      </w:tabs>
      <w:spacing w:line="240" w:lineRule="auto"/>
      <w:ind w:firstLine="709"/>
      <w:contextualSpacing/>
    </w:pPr>
    <w:rPr>
      <w:rFonts w:ascii="Times New Roman" w:eastAsia="Calibri" w:hAnsi="Times New Roman"/>
      <w:szCs w:val="28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5802B5"/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Абзац списка Знак"/>
    <w:basedOn w:val="a0"/>
    <w:link w:val="ab"/>
    <w:uiPriority w:val="34"/>
    <w:locked/>
    <w:rsid w:val="00406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1F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4C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4C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B4C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B4C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AB4C1F"/>
  </w:style>
  <w:style w:type="table" w:styleId="a8">
    <w:name w:val="Table Grid"/>
    <w:basedOn w:val="a1"/>
    <w:rsid w:val="00AB4C1F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аименование вида документа"/>
    <w:qFormat/>
    <w:rsid w:val="00AB4C1F"/>
    <w:pPr>
      <w:spacing w:before="480" w:after="0" w:line="259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a">
    <w:name w:val="Заголовок ФЗ"/>
    <w:qFormat/>
    <w:rsid w:val="00AB4C1F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5802B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unhideWhenUsed/>
    <w:rsid w:val="005802B5"/>
    <w:pPr>
      <w:keepNext/>
      <w:keepLines/>
      <w:tabs>
        <w:tab w:val="left" w:pos="993"/>
      </w:tabs>
      <w:spacing w:line="240" w:lineRule="auto"/>
      <w:ind w:firstLine="709"/>
      <w:contextualSpacing/>
    </w:pPr>
    <w:rPr>
      <w:rFonts w:ascii="Times New Roman" w:eastAsia="Calibri" w:hAnsi="Times New Roman"/>
      <w:szCs w:val="28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5802B5"/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Абзац списка Знак"/>
    <w:basedOn w:val="a0"/>
    <w:link w:val="ab"/>
    <w:uiPriority w:val="34"/>
    <w:locked/>
    <w:rsid w:val="0040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6C47-9CA7-4CA6-944C-0A388505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13</Pages>
  <Words>4396</Words>
  <Characters>25062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Захаркин Владислав Владимирович</dc:creator>
  <cp:lastModifiedBy>Попов А.Ю.</cp:lastModifiedBy>
  <cp:revision>25</cp:revision>
  <cp:lastPrinted>2025-09-27T16:19:00Z</cp:lastPrinted>
  <dcterms:created xsi:type="dcterms:W3CDTF">2022-12-14T20:20:00Z</dcterms:created>
  <dcterms:modified xsi:type="dcterms:W3CDTF">2025-09-27T16:20:00Z</dcterms:modified>
</cp:coreProperties>
</file>