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5C7C" w14:textId="55F0C864" w:rsidR="007C6421" w:rsidRPr="007C6421" w:rsidRDefault="007C6421" w:rsidP="007C6421">
      <w:pPr>
        <w:keepNext/>
        <w:keepLines/>
        <w:shd w:val="clear" w:color="auto" w:fill="E36C0A"/>
        <w:spacing w:before="200" w:after="200" w:line="480" w:lineRule="auto"/>
        <w:ind w:left="142" w:right="140" w:firstLine="0"/>
        <w:jc w:val="center"/>
        <w:outlineLvl w:val="0"/>
        <w:rPr>
          <w:rFonts w:ascii="Arial Narrow" w:eastAsia="Times New Roman" w:hAnsi="Arial Narrow" w:cs="Times New Roman"/>
          <w:b/>
          <w:bCs/>
          <w:sz w:val="26"/>
          <w:szCs w:val="28"/>
        </w:rPr>
      </w:pPr>
      <w:r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>Пример учетной политики для организации, имеющей право на упрощенные способы учета, (УСН 15 %) на 202</w:t>
      </w:r>
      <w:r w:rsidR="003D6ACB">
        <w:rPr>
          <w:rFonts w:ascii="Arial Narrow" w:eastAsia="Times New Roman" w:hAnsi="Arial Narrow" w:cs="Times New Roman"/>
          <w:b/>
          <w:bCs/>
          <w:sz w:val="26"/>
          <w:szCs w:val="28"/>
        </w:rPr>
        <w:t>3</w:t>
      </w:r>
      <w:r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 xml:space="preserve"> год</w:t>
      </w:r>
    </w:p>
    <w:p w14:paraId="3B4BBFAB" w14:textId="114496BF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Воспользуйтесь приказом об утверждении учетной политики на 202</w:t>
      </w:r>
      <w:r w:rsidR="003D6ACB">
        <w:rPr>
          <w:rFonts w:ascii="Arial Narrow" w:eastAsia="Calibri" w:hAnsi="Arial Narrow" w:cs="Times New Roman"/>
          <w:sz w:val="26"/>
          <w:szCs w:val="26"/>
        </w:rPr>
        <w:t>3</w:t>
      </w:r>
      <w:r w:rsidRPr="007C6421">
        <w:rPr>
          <w:rFonts w:ascii="Arial Narrow" w:eastAsia="Calibri" w:hAnsi="Arial Narrow" w:cs="Times New Roman"/>
          <w:sz w:val="26"/>
          <w:szCs w:val="26"/>
        </w:rPr>
        <w:t xml:space="preserve"> для формирования своей идеальной учетной политики</w:t>
      </w:r>
    </w:p>
    <w:p w14:paraId="6404D730" w14:textId="77777777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Пример подготовлен для организации производства, торговли, услуг, работ, которая может воспользоваться упрощенными способами ведения бухучета. Налоговая учетная политика приведена для УСН на объекте доходы – расходы.</w:t>
      </w:r>
    </w:p>
    <w:p w14:paraId="28C04500" w14:textId="77777777" w:rsidR="007C6421" w:rsidRPr="007C6421" w:rsidRDefault="007C6421" w:rsidP="007C6421">
      <w:pPr>
        <w:shd w:val="clear" w:color="auto" w:fill="F79646"/>
        <w:spacing w:after="140"/>
        <w:ind w:left="142" w:right="14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t>Учетная политика по БУ</w:t>
      </w:r>
    </w:p>
    <w:p w14:paraId="2B652823" w14:textId="77777777" w:rsidR="004F745F" w:rsidRPr="004F745F" w:rsidRDefault="004F745F" w:rsidP="004F745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4F745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2C193F7" w14:textId="77777777" w:rsidR="004F745F" w:rsidRPr="004F745F" w:rsidRDefault="004F745F" w:rsidP="004F745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4F745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37564EFC" w14:textId="0F57DEE1" w:rsidR="004F745F" w:rsidRPr="004F745F" w:rsidRDefault="004F745F" w:rsidP="004F745F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г.Москва   </w:t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  <w:t xml:space="preserve">31 декабря </w:t>
      </w:r>
      <w:r w:rsidR="003D6ACB" w:rsidRPr="004F745F">
        <w:rPr>
          <w:rFonts w:ascii="Arial Narrow" w:eastAsia="Times New Roman" w:hAnsi="Arial Narrow" w:cs="Times New Roman"/>
          <w:sz w:val="26"/>
          <w:szCs w:val="26"/>
        </w:rPr>
        <w:t>202</w:t>
      </w:r>
      <w:r w:rsidR="003D6ACB">
        <w:rPr>
          <w:rFonts w:ascii="Arial Narrow" w:eastAsia="Times New Roman" w:hAnsi="Arial Narrow" w:cs="Times New Roman"/>
          <w:sz w:val="26"/>
          <w:szCs w:val="26"/>
        </w:rPr>
        <w:t>2</w:t>
      </w:r>
      <w:r w:rsidR="003D6ACB" w:rsidRPr="004F745F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г.</w:t>
      </w:r>
    </w:p>
    <w:p w14:paraId="0520F4BD" w14:textId="77777777" w:rsidR="004F745F" w:rsidRPr="004F745F" w:rsidRDefault="004F745F" w:rsidP="004F745F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ПРИКАЗЫВАЮ</w:t>
      </w:r>
    </w:p>
    <w:p w14:paraId="5C59AC4F" w14:textId="390E07C6" w:rsidR="004F745F" w:rsidRPr="004F745F" w:rsidRDefault="004F745F" w:rsidP="004F745F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Ввести в действие с 01 января </w:t>
      </w:r>
      <w:r w:rsidR="003D6ACB" w:rsidRPr="004F745F">
        <w:rPr>
          <w:rFonts w:ascii="Arial Narrow" w:eastAsia="Times New Roman" w:hAnsi="Arial Narrow" w:cs="Times New Roman"/>
          <w:sz w:val="26"/>
          <w:szCs w:val="26"/>
        </w:rPr>
        <w:t>202</w:t>
      </w:r>
      <w:r w:rsidR="003D6ACB">
        <w:rPr>
          <w:rFonts w:ascii="Arial Narrow" w:eastAsia="Times New Roman" w:hAnsi="Arial Narrow" w:cs="Times New Roman"/>
          <w:sz w:val="26"/>
          <w:szCs w:val="26"/>
        </w:rPr>
        <w:t>3</w:t>
      </w:r>
      <w:r w:rsidR="003D6ACB" w:rsidRPr="004F745F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года следующую учетную политику ООО "Уютный дом":</w:t>
      </w:r>
    </w:p>
    <w:p w14:paraId="77342EA2" w14:textId="77777777" w:rsidR="004F745F" w:rsidRPr="004F745F" w:rsidRDefault="004F745F" w:rsidP="004F745F">
      <w:pPr>
        <w:numPr>
          <w:ilvl w:val="0"/>
          <w:numId w:val="20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Бухгалтерский учет осуществлять</w:t>
      </w:r>
      <w:r w:rsidRPr="004F74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27EDF82F" w14:textId="77777777" w:rsidR="004F745F" w:rsidRPr="004F745F" w:rsidRDefault="004F745F" w:rsidP="004F745F">
      <w:pPr>
        <w:numPr>
          <w:ilvl w:val="0"/>
          <w:numId w:val="20"/>
        </w:numPr>
        <w:spacing w:before="0"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6F56FC50" w14:textId="77777777" w:rsidR="004F745F" w:rsidRPr="004F745F" w:rsidRDefault="004F745F" w:rsidP="004F745F">
      <w:pPr>
        <w:numPr>
          <w:ilvl w:val="0"/>
          <w:numId w:val="20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771A6FB6" w14:textId="6A4D0CF2" w:rsidR="004F745F" w:rsidRPr="004F745F" w:rsidRDefault="004F745F" w:rsidP="004F745F">
      <w:pPr>
        <w:numPr>
          <w:ilvl w:val="0"/>
          <w:numId w:val="20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</w:t>
      </w:r>
      <w:r w:rsidR="003D6ACB">
        <w:rPr>
          <w:rFonts w:ascii="Arial Narrow" w:eastAsia="Times New Roman" w:hAnsi="Arial Narrow" w:cs="Times New Roman"/>
          <w:sz w:val="26"/>
          <w:szCs w:val="26"/>
        </w:rPr>
        <w:t xml:space="preserve">. </w:t>
      </w:r>
      <w:r w:rsidR="003D6ACB" w:rsidRPr="00041CCA">
        <w:rPr>
          <w:rFonts w:ascii="Arial Narrow" w:eastAsia="Times New Roman" w:hAnsi="Arial Narrow" w:cs="Times New Roman"/>
          <w:sz w:val="26"/>
          <w:szCs w:val="26"/>
        </w:rPr>
        <w:t>Инвентаризация основных средств и НМА осуществляется раз в три года;</w:t>
      </w:r>
    </w:p>
    <w:p w14:paraId="4C3C93A0" w14:textId="77777777" w:rsidR="004F745F" w:rsidRPr="004F745F" w:rsidRDefault="004F745F" w:rsidP="004F745F">
      <w:pPr>
        <w:numPr>
          <w:ilvl w:val="0"/>
          <w:numId w:val="20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4AF83A5D" w14:textId="77777777" w:rsidR="004F745F" w:rsidRPr="004F745F" w:rsidRDefault="004F745F" w:rsidP="004F745F">
      <w:pPr>
        <w:numPr>
          <w:ilvl w:val="0"/>
          <w:numId w:val="20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по следующим правилам:</w:t>
      </w:r>
    </w:p>
    <w:p w14:paraId="2FE3E870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основных средств</w:t>
      </w:r>
    </w:p>
    <w:p w14:paraId="1827D86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</w:t>
      </w:r>
      <w:r w:rsidRPr="004F745F">
        <w:rPr>
          <w:rFonts w:ascii="Arial Narrow" w:eastAsia="Times New Roman" w:hAnsi="Arial Narrow" w:cs="Times New Roman"/>
          <w:sz w:val="26"/>
          <w:szCs w:val="26"/>
        </w:rPr>
        <w:lastRenderedPageBreak/>
        <w:t xml:space="preserve">признаются расходами периода, в котором они понесены. </w:t>
      </w:r>
      <w:r w:rsidRPr="004F745F">
        <w:rPr>
          <w:rFonts w:ascii="Arial Narrow" w:eastAsia="Calibri" w:hAnsi="Arial Narrow" w:cs="Times New Roman"/>
          <w:sz w:val="26"/>
          <w:szCs w:val="26"/>
        </w:rPr>
        <w:t>К несущественным активам организации относятся:</w:t>
      </w:r>
    </w:p>
    <w:p w14:paraId="4BA67922" w14:textId="77777777" w:rsidR="004F745F" w:rsidRPr="00187E67" w:rsidRDefault="004F745F" w:rsidP="00041CCA">
      <w:pPr>
        <w:pStyle w:val="12"/>
        <w:ind w:left="1134"/>
      </w:pPr>
      <w:r w:rsidRPr="00187E67">
        <w:t>ОС стоимостью за единицу до 100 000 руб.;</w:t>
      </w:r>
    </w:p>
    <w:p w14:paraId="4C81EC49" w14:textId="77777777" w:rsidR="004F745F" w:rsidRPr="00041CCA" w:rsidRDefault="004F745F" w:rsidP="00041CCA">
      <w:pPr>
        <w:pStyle w:val="12"/>
        <w:ind w:left="1134"/>
      </w:pPr>
      <w:r w:rsidRPr="00187E67">
        <w:t xml:space="preserve">затраты на </w:t>
      </w:r>
      <w:r w:rsidRPr="00041CCA">
        <w:t>ремонт и техническое обслуживание ОС периодичностью более 12 месяцев стоимостью до 100 000 руб.;</w:t>
      </w:r>
    </w:p>
    <w:p w14:paraId="2F528BAE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Стоимостной лимит для несущественных ОС проверяется ежегодно.</w:t>
      </w:r>
    </w:p>
    <w:p w14:paraId="0CC55FEA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Учет несущественных активов ведется на счете 10.21 "Малоценное оборудование и запасы" по субсчетам:</w:t>
      </w:r>
    </w:p>
    <w:p w14:paraId="0AFD5559" w14:textId="77777777" w:rsidR="004F745F" w:rsidRPr="00041CCA" w:rsidRDefault="004F745F" w:rsidP="00041CCA">
      <w:pPr>
        <w:pStyle w:val="12"/>
        <w:ind w:left="1134"/>
      </w:pPr>
      <w:r w:rsidRPr="00041CCA">
        <w:t>10.21.1 "Приобретение малоценного оборудования и запасов";</w:t>
      </w:r>
    </w:p>
    <w:p w14:paraId="33BFF9CB" w14:textId="77777777" w:rsidR="004F745F" w:rsidRPr="00041CCA" w:rsidRDefault="004F745F" w:rsidP="00041CCA">
      <w:pPr>
        <w:pStyle w:val="12"/>
        <w:ind w:left="1134"/>
      </w:pPr>
      <w:r w:rsidRPr="00041CCA">
        <w:t>10.21.2 "Выбытие малоценного оборудования и запасов".</w:t>
      </w:r>
    </w:p>
    <w:p w14:paraId="66DEBF01" w14:textId="77777777" w:rsidR="004F745F" w:rsidRPr="004F745F" w:rsidRDefault="004F745F" w:rsidP="004F745F">
      <w:pPr>
        <w:spacing w:after="140"/>
        <w:ind w:left="0" w:firstLine="567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 момент приобретения (создания) активов:</w:t>
      </w:r>
    </w:p>
    <w:p w14:paraId="0A52768A" w14:textId="77777777" w:rsidR="004F745F" w:rsidRPr="004F745F" w:rsidRDefault="004F745F" w:rsidP="00041CCA">
      <w:pPr>
        <w:pStyle w:val="12"/>
        <w:ind w:left="1134"/>
      </w:pPr>
      <w:r w:rsidRPr="004F745F">
        <w:t>Дт 10.21.1 Кт 60 - оприходование активов;</w:t>
      </w:r>
    </w:p>
    <w:p w14:paraId="189A3233" w14:textId="77777777" w:rsidR="004F745F" w:rsidRPr="004F745F" w:rsidRDefault="004F745F" w:rsidP="00041CCA">
      <w:pPr>
        <w:pStyle w:val="12"/>
        <w:ind w:left="1134"/>
      </w:pPr>
      <w:r w:rsidRPr="004F745F">
        <w:t>Дт счета расходов Кт 10.21.2 – признание в расходах стоимости активов;</w:t>
      </w:r>
    </w:p>
    <w:p w14:paraId="6E848C7E" w14:textId="77777777" w:rsidR="004F745F" w:rsidRPr="004F745F" w:rsidRDefault="004F745F" w:rsidP="004F745F">
      <w:pPr>
        <w:ind w:left="1134" w:firstLine="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Счет расходов соответствует счету расходов, куда включалась бы амортизация несущественных активов.</w:t>
      </w:r>
    </w:p>
    <w:p w14:paraId="6E0E9FED" w14:textId="77777777" w:rsidR="004F745F" w:rsidRPr="004F745F" w:rsidRDefault="004F745F" w:rsidP="004F745F">
      <w:pPr>
        <w:spacing w:after="140"/>
        <w:ind w:left="0" w:firstLine="851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 момент передачи в эксплуатацию несущественных активов:</w:t>
      </w:r>
    </w:p>
    <w:p w14:paraId="421A4580" w14:textId="77777777" w:rsidR="004F745F" w:rsidRPr="00041CCA" w:rsidRDefault="004F745F" w:rsidP="00041CCA">
      <w:pPr>
        <w:pStyle w:val="12"/>
        <w:ind w:left="1134"/>
      </w:pPr>
      <w:r w:rsidRPr="00041CCA">
        <w:t>Дт 10.21.2 Кт 10.21.1 – передача в эксплуатацию активов;</w:t>
      </w:r>
    </w:p>
    <w:p w14:paraId="04E929D4" w14:textId="77777777" w:rsidR="004F745F" w:rsidRPr="00041CCA" w:rsidRDefault="004F745F" w:rsidP="00041CCA">
      <w:pPr>
        <w:pStyle w:val="12"/>
        <w:ind w:left="1134"/>
      </w:pPr>
      <w:r w:rsidRPr="00041CCA">
        <w:t>Дт МЦ.ХХХ – оприходование за балансом активов.</w:t>
      </w:r>
    </w:p>
    <w:p w14:paraId="7FF653D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Учет ведется отдельно по каждому инвентарному объекту.</w:t>
      </w:r>
    </w:p>
    <w:p w14:paraId="27FAAD2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Фактические затраты при осуществлении капитальных вложений определяются без учета скидок, без учета дисконтирования в связи с отсрочкой платежа более 12 месяцев, без учета обязательств по демонтажу. Иные дополнительные расходы включаются в фактические затраты на капитальные вложения. Фактическая себестоимость капвложений при оплате неденежными средствами соответствует балансовой стоимости передаваемых активов.</w:t>
      </w:r>
    </w:p>
    <w:p w14:paraId="56D09EFB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Амортизация начисляется ежемесячно с 1-го числа месяца, следующего за месяцем признания основного средства в бухучете, линейным способом по всем объектам.</w:t>
      </w:r>
    </w:p>
    <w:p w14:paraId="1C6FF4C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Ликвидационная стоимость основного средства определяется, если выгода от его выбытия составит более 100 тыс. руб. Иначе она признается равной нулю.</w:t>
      </w:r>
    </w:p>
    <w:p w14:paraId="0E0E37DC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Ежегодная проверка капитальных вложений и основных средств на обесценение не проводится.</w:t>
      </w:r>
    </w:p>
    <w:p w14:paraId="5281A3E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Последующая оценка основных средств на отчетную дату осуществляется по первоначальной стоимости.</w:t>
      </w:r>
    </w:p>
    <w:p w14:paraId="527A8CFE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нематериальных активов</w:t>
      </w:r>
    </w:p>
    <w:p w14:paraId="427FDA9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Амортизация начисляется линейным способом по всем объектам нематериальных активов.</w:t>
      </w:r>
    </w:p>
    <w:p w14:paraId="3DF0D4E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запасов (материалов, товаров)</w:t>
      </w:r>
    </w:p>
    <w:p w14:paraId="1FBB498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К запасам относятся активы, используемые в течение 12 месяцев:</w:t>
      </w:r>
    </w:p>
    <w:p w14:paraId="6F00631B" w14:textId="77777777" w:rsidR="004F745F" w:rsidRPr="00690E87" w:rsidRDefault="004F745F" w:rsidP="00690E87">
      <w:pPr>
        <w:pStyle w:val="12"/>
        <w:ind w:left="1134"/>
      </w:pPr>
      <w:r w:rsidRPr="00690E87">
        <w:lastRenderedPageBreak/>
        <w:t>для производства продукции, выполнения работ, оказания услуг, а также для продажи в ходе обычной деятельности.</w:t>
      </w:r>
    </w:p>
    <w:p w14:paraId="7CE7034F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Они учитываются по фактической себестоимости с отражением в учете на счете 10 "Материалы".</w:t>
      </w:r>
    </w:p>
    <w:p w14:paraId="4576DB5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ФСБУ 5 не применяется к запасам,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 следующие группы запасов</w:t>
      </w:r>
      <w:r w:rsidRPr="004F745F">
        <w:rPr>
          <w:rFonts w:ascii="Arial Narrow" w:eastAsia="Calibri" w:hAnsi="Arial Narrow" w:cs="Times New Roman"/>
          <w:sz w:val="26"/>
        </w:rPr>
        <w:t>, не зависимо от их стоимости:</w:t>
      </w:r>
    </w:p>
    <w:p w14:paraId="7BC8A8BC" w14:textId="77777777" w:rsidR="004F745F" w:rsidRPr="00F61AC1" w:rsidRDefault="004F745F" w:rsidP="00F61AC1">
      <w:pPr>
        <w:pStyle w:val="12"/>
        <w:ind w:left="1134"/>
      </w:pPr>
      <w:r w:rsidRPr="00F61AC1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5BFE2D3B" w14:textId="77777777" w:rsidR="004F745F" w:rsidRPr="00F61AC1" w:rsidRDefault="004F745F" w:rsidP="00F61AC1">
      <w:pPr>
        <w:pStyle w:val="12"/>
        <w:ind w:left="1134"/>
      </w:pPr>
      <w:r w:rsidRPr="00F61AC1">
        <w:t>хозяйственный инвентарь и приспособления;</w:t>
      </w:r>
    </w:p>
    <w:p w14:paraId="411A10DE" w14:textId="77777777" w:rsidR="004F745F" w:rsidRPr="00F61AC1" w:rsidRDefault="004F745F" w:rsidP="00F61AC1">
      <w:pPr>
        <w:pStyle w:val="12"/>
        <w:ind w:left="1134"/>
      </w:pPr>
      <w:r w:rsidRPr="00F61AC1">
        <w:t>мебель.</w:t>
      </w:r>
    </w:p>
    <w:p w14:paraId="2005E5B9" w14:textId="6D915ECE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</w:t>
      </w:r>
      <w:r w:rsidR="003D6ACB">
        <w:rPr>
          <w:rFonts w:ascii="Arial Narrow" w:eastAsia="Calibri" w:hAnsi="Arial Narrow" w:cs="Times New Roman"/>
          <w:sz w:val="26"/>
          <w:szCs w:val="26"/>
        </w:rPr>
        <w:t>2</w:t>
      </w:r>
      <w:r w:rsidRPr="004F745F">
        <w:rPr>
          <w:rFonts w:ascii="Arial Narrow" w:eastAsia="Calibri" w:hAnsi="Arial Narrow" w:cs="Times New Roman"/>
          <w:sz w:val="26"/>
          <w:szCs w:val="26"/>
        </w:rPr>
        <w:t>.</w:t>
      </w:r>
    </w:p>
    <w:p w14:paraId="1D4AB23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55A3B0CF" w14:textId="77777777" w:rsidR="004F745F" w:rsidRPr="00F61AC1" w:rsidRDefault="004F745F" w:rsidP="00F61AC1">
      <w:pPr>
        <w:pStyle w:val="12"/>
        <w:ind w:left="1134"/>
      </w:pPr>
      <w:r w:rsidRPr="00F61AC1">
        <w:t>офисные канцтовары и принадлежности;</w:t>
      </w:r>
    </w:p>
    <w:p w14:paraId="03C2E452" w14:textId="77777777" w:rsidR="004F745F" w:rsidRPr="00F61AC1" w:rsidRDefault="004F745F" w:rsidP="00F61AC1">
      <w:pPr>
        <w:pStyle w:val="12"/>
        <w:ind w:left="1134"/>
      </w:pPr>
      <w:r w:rsidRPr="00F61AC1">
        <w:t>почтовые товары: конверты, бандероли, марки и др.;</w:t>
      </w:r>
    </w:p>
    <w:p w14:paraId="66BDDF93" w14:textId="77777777" w:rsidR="004F745F" w:rsidRPr="00F61AC1" w:rsidRDefault="004F745F" w:rsidP="00F61AC1">
      <w:pPr>
        <w:pStyle w:val="12"/>
        <w:ind w:left="1134"/>
      </w:pPr>
      <w:r w:rsidRPr="00F61AC1">
        <w:t>вода и материалы для обеспечения нормальных условий труда;</w:t>
      </w:r>
    </w:p>
    <w:p w14:paraId="1D36F6AD" w14:textId="77777777" w:rsidR="004F745F" w:rsidRPr="00F61AC1" w:rsidRDefault="004F745F" w:rsidP="00F61AC1">
      <w:pPr>
        <w:pStyle w:val="12"/>
        <w:ind w:left="1134"/>
      </w:pPr>
      <w:r w:rsidRPr="00F61AC1">
        <w:t>материалы для хозяйственных нужд, поддержанию порядка.</w:t>
      </w:r>
    </w:p>
    <w:p w14:paraId="60A21061" w14:textId="7CEF07E2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</w:t>
      </w:r>
      <w:r w:rsidR="003D6ACB">
        <w:rPr>
          <w:rFonts w:ascii="Arial Narrow" w:eastAsia="Calibri" w:hAnsi="Arial Narrow" w:cs="Times New Roman"/>
          <w:sz w:val="26"/>
          <w:szCs w:val="26"/>
        </w:rPr>
        <w:t>2</w:t>
      </w:r>
      <w:r w:rsidRPr="004F745F">
        <w:rPr>
          <w:rFonts w:ascii="Arial Narrow" w:eastAsia="Calibri" w:hAnsi="Arial Narrow" w:cs="Times New Roman"/>
          <w:sz w:val="26"/>
          <w:szCs w:val="26"/>
        </w:rPr>
        <w:t>.</w:t>
      </w:r>
    </w:p>
    <w:p w14:paraId="445B48A8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"Товары".</w:t>
      </w:r>
    </w:p>
    <w:p w14:paraId="7CFF32B0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Товары в оптовой и розничной торговле учитываются по фактической себестоимости на счете 41 "Товары".</w:t>
      </w:r>
    </w:p>
    <w:p w14:paraId="65488C1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Фактическая себестоимость запасов при приобретении их неденежными средствами соответствует балансовой стоимости передаваемых активов.</w:t>
      </w:r>
    </w:p>
    <w:p w14:paraId="2B33157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Последующая оценка запасов на отчетную дату осуществляется по фактической себестоимости. Ежегодная проверка на обесценение запасов не осуществляется.</w:t>
      </w:r>
    </w:p>
    <w:p w14:paraId="61CB382A" w14:textId="104424B6" w:rsidR="004F745F" w:rsidRPr="004F745F" w:rsidRDefault="00720936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D1428E">
        <w:rPr>
          <w:rFonts w:ascii="Arial Narrow" w:hAnsi="Arial Narrow"/>
          <w:spacing w:val="-2"/>
          <w:sz w:val="26"/>
        </w:rPr>
        <w:t xml:space="preserve">При выбытии </w:t>
      </w:r>
      <w:r>
        <w:rPr>
          <w:rFonts w:ascii="Arial Narrow" w:hAnsi="Arial Narrow"/>
          <w:spacing w:val="-2"/>
          <w:sz w:val="26"/>
        </w:rPr>
        <w:t>запасов</w:t>
      </w:r>
      <w:r w:rsidRPr="00D1428E">
        <w:rPr>
          <w:rFonts w:ascii="Arial Narrow" w:hAnsi="Arial Narrow"/>
          <w:spacing w:val="-2"/>
          <w:sz w:val="26"/>
        </w:rPr>
        <w:t xml:space="preserve"> их оценка производится по методу ФИФО</w:t>
      </w:r>
      <w:r w:rsidR="003804A4">
        <w:rPr>
          <w:rFonts w:ascii="Arial Narrow" w:eastAsia="Times New Roman" w:hAnsi="Arial Narrow" w:cs="Times New Roman"/>
          <w:spacing w:val="-2"/>
          <w:sz w:val="26"/>
        </w:rPr>
        <w:t>.</w:t>
      </w:r>
    </w:p>
    <w:p w14:paraId="4C369D7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НЗП и готовой продукции</w:t>
      </w:r>
    </w:p>
    <w:p w14:paraId="6643C1E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В прямые затраты на производство продукции, выполнение работ, оказание услуг включаются:</w:t>
      </w:r>
    </w:p>
    <w:p w14:paraId="5071EB45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3D5B8CAF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затраты на оплату труда и иные выплаты производственным рабочим (в т.ч. страховые взносы с зарплаты);</w:t>
      </w:r>
    </w:p>
    <w:p w14:paraId="7C30EE83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амортизация основных средств, используемых непосредственно в производстве;</w:t>
      </w:r>
    </w:p>
    <w:p w14:paraId="7C3B08BA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7FCAD28F" w14:textId="77777777" w:rsidR="004F745F" w:rsidRPr="004F745F" w:rsidRDefault="004F745F" w:rsidP="003D6ACB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</w:t>
      </w:r>
      <w:r w:rsidRPr="004F745F">
        <w:rPr>
          <w:rFonts w:ascii="Arial Narrow" w:eastAsia="Times New Roman" w:hAnsi="Arial Narrow" w:cs="Times New Roman"/>
          <w:sz w:val="26"/>
          <w:szCs w:val="26"/>
        </w:rPr>
        <w:lastRenderedPageBreak/>
        <w:t>производства продукции, оказания услуг, выполнения работ. Они учитываются на счете 20 "Основное производство".</w:t>
      </w:r>
    </w:p>
    <w:p w14:paraId="22FCB60E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53E10589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сумме всех прямых затрат;</w:t>
      </w:r>
    </w:p>
    <w:p w14:paraId="7A9E396C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Сверхнормативные затраты учитываются по статье «Сверхнормативные затраты» в Дт 20 (25). Они признаются:</w:t>
      </w:r>
    </w:p>
    <w:p w14:paraId="230DF094" w14:textId="1807469B" w:rsid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 xml:space="preserve">расходами в конце месяца в результате ненадлежащей организации производственного процесса, т. е. не включаются в себестоимость НЗП, ГП </w:t>
      </w:r>
      <w:r w:rsidR="00F61AC1">
        <w:rPr>
          <w:rFonts w:ascii="Arial Narrow" w:eastAsia="Calibri" w:hAnsi="Arial Narrow" w:cs="Times New Roman"/>
          <w:sz w:val="26"/>
          <w:szCs w:val="26"/>
        </w:rPr>
        <w:t>–</w:t>
      </w:r>
      <w:r w:rsidRPr="004F745F">
        <w:rPr>
          <w:rFonts w:ascii="Arial Narrow" w:eastAsia="Calibri" w:hAnsi="Arial Narrow" w:cs="Times New Roman"/>
          <w:sz w:val="26"/>
          <w:szCs w:val="26"/>
        </w:rPr>
        <w:t xml:space="preserve"> Дт</w:t>
      </w:r>
      <w:r w:rsidR="00F61AC1">
        <w:rPr>
          <w:rFonts w:ascii="Arial Narrow" w:eastAsia="Calibri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Calibri" w:hAnsi="Arial Narrow" w:cs="Times New Roman"/>
          <w:sz w:val="26"/>
          <w:szCs w:val="26"/>
        </w:rPr>
        <w:t>90.02 Кт 20.01, 25;</w:t>
      </w:r>
    </w:p>
    <w:p w14:paraId="68D3197B" w14:textId="663ECBE0" w:rsidR="004F745F" w:rsidRPr="004F745F" w:rsidRDefault="004F745F" w:rsidP="00F61AC1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включаются в себестоимость НЗП и ГП, если потери обусловлены технологическим процессом Дт</w:t>
      </w:r>
      <w:r w:rsidR="00F61AC1">
        <w:rPr>
          <w:rFonts w:ascii="Arial Narrow" w:eastAsia="Calibri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Calibri" w:hAnsi="Arial Narrow" w:cs="Times New Roman"/>
          <w:sz w:val="26"/>
          <w:szCs w:val="26"/>
        </w:rPr>
        <w:t>20.01 Кт 20.01, 25, 28.</w:t>
      </w:r>
    </w:p>
    <w:p w14:paraId="6DFDC8B3" w14:textId="77777777" w:rsidR="00187E67" w:rsidRPr="00F61AC1" w:rsidRDefault="004F745F" w:rsidP="00014993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187E67">
        <w:rPr>
          <w:rFonts w:ascii="Arial Narrow" w:eastAsia="Times New Roman" w:hAnsi="Arial Narrow" w:cs="Times New Roman"/>
          <w:spacing w:val="-2"/>
          <w:sz w:val="26"/>
        </w:rPr>
        <w:t xml:space="preserve">Учет готовой продукции ведется на счете 43 "Готовая продукция" без применения счета 40 "Выпуск готовой продукции". </w:t>
      </w:r>
      <w:r w:rsidR="00187E67" w:rsidRPr="00F61AC1">
        <w:rPr>
          <w:rFonts w:ascii="Arial Narrow" w:eastAsia="Times New Roman" w:hAnsi="Arial Narrow" w:cs="Times New Roman"/>
          <w:spacing w:val="-2"/>
          <w:sz w:val="26"/>
        </w:rPr>
        <w:t>Оценка готовой продукции на конец месяца (в отчетности) осуществляется по фактической себестоимости (по сумме фактических прямых и косвенных затрат). В течение месяца выпуск готовой продукции и ее реализация осуществляется только в количественном выражении без суммовой оценки;</w:t>
      </w:r>
    </w:p>
    <w:p w14:paraId="6CCB5C86" w14:textId="77777777" w:rsidR="004F745F" w:rsidRPr="00187E67" w:rsidRDefault="004F745F" w:rsidP="00014993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187E67">
        <w:rPr>
          <w:rFonts w:ascii="Arial Narrow" w:eastAsia="Times New Roman" w:hAnsi="Arial Narrow" w:cs="Times New Roman"/>
          <w:spacing w:val="-2"/>
          <w:sz w:val="26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производства";</w:t>
      </w:r>
    </w:p>
    <w:p w14:paraId="50A9781D" w14:textId="4B3841E4" w:rsid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Незавершенное производство (НЗП) учитывается на счете 20.01 "Основное производство" и оценивается в отчетности по сумме прямых затрат.</w:t>
      </w:r>
    </w:p>
    <w:p w14:paraId="63294EFB" w14:textId="7DD6E9AE" w:rsidR="00187E67" w:rsidRPr="00187E67" w:rsidRDefault="00187E67" w:rsidP="00187E67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F61AC1">
        <w:rPr>
          <w:rFonts w:ascii="Arial Narrow" w:eastAsia="Times New Roman" w:hAnsi="Arial Narrow" w:cs="Times New Roman"/>
          <w:spacing w:val="-2"/>
          <w:sz w:val="26"/>
        </w:rPr>
        <w:t>Сумма затрат по незавершенным услугам не определяется, а полностью учитывается в составе себестоимости продаж по Дт 90.02</w:t>
      </w:r>
      <w:r w:rsidR="0084072E">
        <w:rPr>
          <w:rFonts w:ascii="Arial Narrow" w:eastAsia="Times New Roman" w:hAnsi="Arial Narrow" w:cs="Times New Roman"/>
          <w:spacing w:val="-2"/>
          <w:sz w:val="26"/>
        </w:rPr>
        <w:t xml:space="preserve"> </w:t>
      </w:r>
      <w:r w:rsidR="0084072E" w:rsidRPr="00187E67">
        <w:rPr>
          <w:rFonts w:ascii="Arial Narrow" w:eastAsia="Times New Roman" w:hAnsi="Arial Narrow" w:cs="Times New Roman"/>
          <w:spacing w:val="-2"/>
          <w:sz w:val="26"/>
        </w:rPr>
        <w:t>"</w:t>
      </w:r>
      <w:r w:rsidR="0084072E">
        <w:rPr>
          <w:rFonts w:ascii="Arial Narrow" w:eastAsia="Times New Roman" w:hAnsi="Arial Narrow" w:cs="Times New Roman"/>
          <w:spacing w:val="-2"/>
          <w:sz w:val="26"/>
        </w:rPr>
        <w:t>Себестоимость продаж</w:t>
      </w:r>
      <w:r w:rsidR="0084072E" w:rsidRPr="00187E67">
        <w:rPr>
          <w:rFonts w:ascii="Arial Narrow" w:eastAsia="Times New Roman" w:hAnsi="Arial Narrow" w:cs="Times New Roman"/>
          <w:spacing w:val="-2"/>
          <w:sz w:val="26"/>
        </w:rPr>
        <w:t>"</w:t>
      </w:r>
      <w:r w:rsidRPr="00F61AC1">
        <w:rPr>
          <w:rFonts w:ascii="Arial Narrow" w:eastAsia="Times New Roman" w:hAnsi="Arial Narrow" w:cs="Times New Roman"/>
          <w:spacing w:val="-2"/>
          <w:sz w:val="26"/>
        </w:rPr>
        <w:t>.</w:t>
      </w:r>
    </w:p>
    <w:p w14:paraId="1071DF0F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объектов аренды</w:t>
      </w:r>
    </w:p>
    <w:p w14:paraId="69E7A78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771238C9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Право пользования активом не признается в отношении предметов аренды по всем договорам, кроме:</w:t>
      </w:r>
    </w:p>
    <w:p w14:paraId="111972F4" w14:textId="77777777" w:rsidR="004F745F" w:rsidRPr="004F745F" w:rsidRDefault="004F745F" w:rsidP="004F745F">
      <w:pPr>
        <w:numPr>
          <w:ilvl w:val="0"/>
          <w:numId w:val="4"/>
        </w:numPr>
        <w:spacing w:before="0"/>
        <w:ind w:left="1135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лизинговых;</w:t>
      </w:r>
    </w:p>
    <w:p w14:paraId="185BBEE7" w14:textId="77777777" w:rsidR="004F745F" w:rsidRPr="004F745F" w:rsidRDefault="004F745F" w:rsidP="004F745F">
      <w:pPr>
        <w:numPr>
          <w:ilvl w:val="0"/>
          <w:numId w:val="4"/>
        </w:numPr>
        <w:spacing w:before="0"/>
        <w:ind w:left="1135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договоров, по которым предполагается субаренда.</w:t>
      </w:r>
    </w:p>
    <w:p w14:paraId="12B7699B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не признается ППА, арендные платежи в затратах признаются равномерно ежемесячно в течение срока аренды.</w:t>
      </w:r>
    </w:p>
    <w:p w14:paraId="215B0FF0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признается ППА, его фактическая стоимость определяется без включения:</w:t>
      </w:r>
    </w:p>
    <w:p w14:paraId="3D7F3F9B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lastRenderedPageBreak/>
        <w:t>затрат в связи с поступлением предмета аренды и доведением до готовности (признаются в расходах в периоде их понесения);</w:t>
      </w:r>
    </w:p>
    <w:p w14:paraId="55B7F9D8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оценочного обязательства на демонтаж.</w:t>
      </w:r>
    </w:p>
    <w:p w14:paraId="0DF8B9D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признается ППА, оценка обязательства по аренде производится по номинальной стоимости арендных платежей на дату оценки (без дисконтирования).</w:t>
      </w:r>
    </w:p>
    <w:p w14:paraId="19FD8BC7" w14:textId="49CD750D" w:rsid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Способ амортизации ППА по арендным договорам, по которым признается право пользования, — линейный.</w:t>
      </w:r>
    </w:p>
    <w:p w14:paraId="2B32A101" w14:textId="77777777" w:rsidR="00187E67" w:rsidRPr="00F61AC1" w:rsidRDefault="00187E67" w:rsidP="00187E67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F61AC1">
        <w:rPr>
          <w:rFonts w:ascii="Arial Narrow" w:eastAsia="Times New Roman" w:hAnsi="Arial Narrow" w:cs="Times New Roman"/>
          <w:spacing w:val="-2"/>
          <w:sz w:val="26"/>
        </w:rPr>
        <w:t>Для определения срока договора аренды (СПИ права пользования активом) анализируются следующие факторы:</w:t>
      </w:r>
    </w:p>
    <w:p w14:paraId="50576E84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срок, указанный в договоре;</w:t>
      </w:r>
    </w:p>
    <w:p w14:paraId="45379EE9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условия продления и выхода из договора;</w:t>
      </w:r>
    </w:p>
    <w:p w14:paraId="01D82C23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условия повышения (сохранения) стоимости арендных платежей;</w:t>
      </w:r>
    </w:p>
    <w:p w14:paraId="5D21E5DF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уровень цен на аренду в районе расположения предмета аренды и по городу;</w:t>
      </w:r>
    </w:p>
    <w:p w14:paraId="787C8DD4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иные факторы, стимулирующие продление договора аренды.</w:t>
      </w:r>
    </w:p>
    <w:p w14:paraId="1614DD26" w14:textId="77777777" w:rsidR="003F0A78" w:rsidRPr="003F0A78" w:rsidRDefault="003F0A78" w:rsidP="00A005D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3F0A78">
        <w:rPr>
          <w:rFonts w:ascii="Arial Narrow" w:eastAsia="Times New Roman" w:hAnsi="Arial Narrow" w:cs="Times New Roman"/>
          <w:spacing w:val="-2"/>
          <w:sz w:val="26"/>
        </w:rPr>
        <w:t>Право пользованиям активом не переоценивается, даже если предмет аренды относится по характеру использования</w:t>
      </w:r>
      <w:bookmarkStart w:id="0" w:name="_GoBack"/>
      <w:bookmarkEnd w:id="0"/>
      <w:r w:rsidRPr="003F0A78">
        <w:rPr>
          <w:rFonts w:ascii="Arial Narrow" w:eastAsia="Times New Roman" w:hAnsi="Arial Narrow" w:cs="Times New Roman"/>
          <w:spacing w:val="-2"/>
          <w:sz w:val="26"/>
        </w:rPr>
        <w:t xml:space="preserve"> к группе основных средств, по которой принято решение о проведении переоценки.</w:t>
      </w:r>
    </w:p>
    <w:p w14:paraId="2EE806A5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расчетов с сотрудниками и контрагентами</w:t>
      </w:r>
    </w:p>
    <w:p w14:paraId="1653A80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226113D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01421085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доходов и расходов</w:t>
      </w:r>
    </w:p>
    <w:p w14:paraId="5E807EC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(Дт 90.08 "Управленческие расходы" Кт 26);</w:t>
      </w:r>
    </w:p>
    <w:p w14:paraId="028B940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Расходы, связанные с реализацией продукции, работ и услуг (в т.ч.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3FBB5ECF" w14:textId="46ACB020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Доходы и расходы, связанные с предоставлением имущества в </w:t>
      </w:r>
      <w:r w:rsidR="00F61AC1">
        <w:rPr>
          <w:rFonts w:ascii="Arial Narrow" w:eastAsia="Times New Roman" w:hAnsi="Arial Narrow" w:cs="Times New Roman"/>
          <w:spacing w:val="-2"/>
          <w:sz w:val="26"/>
        </w:rPr>
        <w:t xml:space="preserve">операционную </w:t>
      </w:r>
      <w:r w:rsidRPr="004F745F">
        <w:rPr>
          <w:rFonts w:ascii="Arial Narrow" w:eastAsia="Times New Roman" w:hAnsi="Arial Narrow" w:cs="Times New Roman"/>
          <w:spacing w:val="-2"/>
          <w:sz w:val="26"/>
        </w:rPr>
        <w:t>аренду учитываются в качестве прочих доходов и расходов соответствующим образом на счете 91 "Прочие доходы и расходы".</w:t>
      </w:r>
    </w:p>
    <w:p w14:paraId="12310BDD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государственной помощи</w:t>
      </w:r>
    </w:p>
    <w:p w14:paraId="7EA0CD89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Организация принимает бюджетные средства к учету по мере фактического получения средств.</w:t>
      </w:r>
    </w:p>
    <w:p w14:paraId="79FA0012" w14:textId="0015E231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</w:t>
      </w:r>
      <w:r w:rsidR="00B07CA2">
        <w:rPr>
          <w:rFonts w:ascii="Arial Narrow" w:eastAsia="Times New Roman" w:hAnsi="Arial Narrow" w:cs="Times New Roman"/>
          <w:spacing w:val="-2"/>
          <w:sz w:val="26"/>
        </w:rPr>
        <w:t xml:space="preserve"> она представляется</w:t>
      </w: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как обособленная статья в составе долгосрочных обязательств. В отчете о финансовых результатах суммы, отнесенные на финансовые результаты,</w:t>
      </w:r>
      <w:r w:rsidR="00B07CA2">
        <w:rPr>
          <w:rFonts w:ascii="Arial Narrow" w:eastAsia="Times New Roman" w:hAnsi="Arial Narrow" w:cs="Times New Roman"/>
          <w:spacing w:val="-2"/>
          <w:sz w:val="26"/>
        </w:rPr>
        <w:t xml:space="preserve"> -</w:t>
      </w: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как обособленная статья в составе прочих доходов.</w:t>
      </w:r>
    </w:p>
    <w:p w14:paraId="06E1A3C2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процентов по займам</w:t>
      </w:r>
    </w:p>
    <w:p w14:paraId="19540EA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48C24FCB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Исправление ошибок</w:t>
      </w:r>
    </w:p>
    <w:p w14:paraId="617BEAA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Существенные ошибки, выявленные в бухучете, исправляются как несущественные ошибки в корреспонденции со счетом 91 «Прочие доходы и расходы» без ретроспективного пересчета показателей.</w:t>
      </w:r>
    </w:p>
    <w:p w14:paraId="69E5BC3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Оценочные значения</w:t>
      </w:r>
    </w:p>
    <w:p w14:paraId="2D7288FC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 5 к учетной политике.</w:t>
      </w:r>
    </w:p>
    <w:p w14:paraId="1DFE00D1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Не применяются нормы положений по бухгалтерскому учету</w:t>
      </w:r>
    </w:p>
    <w:p w14:paraId="2BC2922B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2/2008 "Учет договоров строительного подряда";</w:t>
      </w:r>
    </w:p>
    <w:p w14:paraId="626E380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8/2010 "Оценочные обязательства, условные обязательства и условные активы";</w:t>
      </w:r>
    </w:p>
    <w:p w14:paraId="3967B45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11/2008 "Информация о связанных сторонах";</w:t>
      </w:r>
    </w:p>
    <w:p w14:paraId="68E733EF" w14:textId="77777777" w:rsidR="00B07CA2" w:rsidRPr="004F745F" w:rsidRDefault="00B07CA2" w:rsidP="00B07CA2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12/2010 "Информация по сегментам";</w:t>
      </w:r>
    </w:p>
    <w:p w14:paraId="5A7F357E" w14:textId="3D918306" w:rsid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16/2002 "Информация по прекращаемой деятельности"</w:t>
      </w:r>
      <w:r w:rsidR="00240B11">
        <w:rPr>
          <w:rFonts w:ascii="Arial Narrow" w:eastAsia="Times New Roman" w:hAnsi="Arial Narrow" w:cs="Times New Roman"/>
          <w:spacing w:val="-2"/>
          <w:sz w:val="26"/>
        </w:rPr>
        <w:t>;</w:t>
      </w:r>
    </w:p>
    <w:p w14:paraId="4A0DEBB1" w14:textId="502B13E5" w:rsidR="00B07CA2" w:rsidRPr="004F745F" w:rsidRDefault="00B07CA2" w:rsidP="00B07CA2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18/02 "Учет расчетов по</w:t>
      </w:r>
      <w:r w:rsidR="00240B11">
        <w:rPr>
          <w:rFonts w:ascii="Arial Narrow" w:eastAsia="Times New Roman" w:hAnsi="Arial Narrow" w:cs="Times New Roman"/>
          <w:spacing w:val="-2"/>
          <w:sz w:val="26"/>
        </w:rPr>
        <w:t xml:space="preserve"> налогу на прибыль организаций".</w:t>
      </w:r>
    </w:p>
    <w:p w14:paraId="5D33F73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Форма представления бухгалтерской отчетности</w:t>
      </w:r>
    </w:p>
    <w:p w14:paraId="2D9FEE05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Организация представляет годовую бухгалтерскую отчетность по упрощенной форме, предусмотренной в Приложении N 5 Приказа Минфина РФ от 02.07.2010 N 66н. 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6B7B0503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697C4411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5F4C234E" w14:textId="77777777" w:rsidR="004F745F" w:rsidRPr="004F745F" w:rsidRDefault="004F745F" w:rsidP="004F745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4F745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C5B00B5" w14:textId="77777777" w:rsidR="007C6421" w:rsidRPr="007C6421" w:rsidRDefault="007C6421" w:rsidP="00317BC6">
      <w:pPr>
        <w:pageBreakBefore/>
        <w:spacing w:after="140"/>
        <w:ind w:left="142" w:right="142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lastRenderedPageBreak/>
        <w:t>Приложение N 1 Рабочий план счетов</w:t>
      </w:r>
    </w:p>
    <w:p w14:paraId="2A371911" w14:textId="36522F88" w:rsidR="007C6421" w:rsidRPr="007B559E" w:rsidRDefault="007C6421" w:rsidP="007C6421">
      <w:pPr>
        <w:spacing w:after="140"/>
        <w:ind w:left="142" w:right="140" w:firstLine="0"/>
        <w:rPr>
          <w:rStyle w:val="af9"/>
          <w:rFonts w:ascii="Arial Narrow" w:eastAsia="Calibri" w:hAnsi="Arial Narrow" w:cs="Times New Roman"/>
          <w:sz w:val="26"/>
          <w:szCs w:val="26"/>
          <w:shd w:val="clear" w:color="auto" w:fill="FFFF00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 xml:space="preserve">Ознакомиться с </w:t>
      </w:r>
      <w:r w:rsidR="007B559E">
        <w:rPr>
          <w:rFonts w:ascii="Arial Narrow" w:hAnsi="Arial Narrow"/>
          <w:sz w:val="26"/>
          <w:szCs w:val="26"/>
          <w:shd w:val="clear" w:color="auto" w:fill="FFFFFF"/>
        </w:rPr>
        <w:fldChar w:fldCharType="begin"/>
      </w:r>
      <w:r w:rsidR="007B559E">
        <w:rPr>
          <w:rFonts w:ascii="Arial Narrow" w:hAnsi="Arial Narrow"/>
          <w:sz w:val="26"/>
          <w:szCs w:val="26"/>
          <w:shd w:val="clear" w:color="auto" w:fill="FFFFFF"/>
        </w:rPr>
        <w:instrText xml:space="preserve"> HYPERLINK "https://buhexpert8.ru/wp-content/uploads/2023/01/Rabochij-plan-schetov-2023.pdf" </w:instrText>
      </w:r>
      <w:r w:rsidR="007B559E">
        <w:rPr>
          <w:rFonts w:ascii="Arial Narrow" w:hAnsi="Arial Narrow"/>
          <w:sz w:val="26"/>
          <w:szCs w:val="26"/>
          <w:shd w:val="clear" w:color="auto" w:fill="FFFFFF"/>
        </w:rPr>
        <w:fldChar w:fldCharType="separate"/>
      </w:r>
      <w:r w:rsidRPr="00E22CAE">
        <w:rPr>
          <w:rStyle w:val="af9"/>
          <w:rFonts w:ascii="Arial Narrow" w:hAnsi="Arial Narrow"/>
          <w:sz w:val="26"/>
          <w:szCs w:val="26"/>
          <w:shd w:val="clear" w:color="auto" w:fill="FFFFFF"/>
        </w:rPr>
        <w:t>рабочим планом счетов</w:t>
      </w:r>
    </w:p>
    <w:p w14:paraId="1EC95793" w14:textId="45E6B1CA" w:rsidR="007C6421" w:rsidRPr="007C6421" w:rsidRDefault="007B559E" w:rsidP="007C6421">
      <w:pPr>
        <w:spacing w:after="140"/>
        <w:ind w:left="142" w:right="140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>
        <w:rPr>
          <w:rFonts w:ascii="Arial Narrow" w:hAnsi="Arial Narrow"/>
          <w:sz w:val="26"/>
          <w:szCs w:val="26"/>
          <w:shd w:val="clear" w:color="auto" w:fill="FFFFFF"/>
        </w:rPr>
        <w:fldChar w:fldCharType="end"/>
      </w:r>
      <w:r w:rsidR="007C6421"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2 Первичные учетные документы</w:t>
      </w:r>
    </w:p>
    <w:p w14:paraId="2D31774C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2 к Приказу 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учета"</w:t>
      </w:r>
    </w:p>
    <w:p w14:paraId="5DBA70BB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7C6421">
        <w:rPr>
          <w:rFonts w:ascii="Arial Narrow" w:eastAsia="Times New Roman" w:hAnsi="Arial Narrow" w:cs="Times New Roman"/>
          <w:b/>
          <w:sz w:val="24"/>
          <w:szCs w:val="24"/>
        </w:rPr>
        <w:t>Первичные учетные документы</w:t>
      </w:r>
    </w:p>
    <w:p w14:paraId="548392C5" w14:textId="77777777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5DD1ACD" w14:textId="77777777" w:rsidR="007C6421" w:rsidRPr="00760674" w:rsidRDefault="007C6421" w:rsidP="00C43EE1">
      <w:pPr>
        <w:pStyle w:val="12"/>
      </w:pPr>
      <w:r w:rsidRPr="00760674">
        <w:t>По учету основных</w:t>
      </w:r>
      <w:r>
        <w:t xml:space="preserve"> средств – формы, утвержденные П</w:t>
      </w:r>
      <w:r w:rsidRPr="00760674">
        <w:t>остановлением Госкомстата от 21.01.2003 N 7;</w:t>
      </w:r>
    </w:p>
    <w:p w14:paraId="5E59E477" w14:textId="77777777" w:rsidR="007C6421" w:rsidRPr="00760674" w:rsidRDefault="007C6421" w:rsidP="00C43EE1">
      <w:pPr>
        <w:pStyle w:val="12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1;</w:t>
      </w:r>
    </w:p>
    <w:p w14:paraId="399E99B3" w14:textId="77777777" w:rsidR="007C6421" w:rsidRPr="00760674" w:rsidRDefault="007C6421" w:rsidP="00C43EE1">
      <w:pPr>
        <w:pStyle w:val="12"/>
      </w:pPr>
      <w:r w:rsidRPr="00760674">
        <w:t>По учету ма</w:t>
      </w:r>
      <w:r>
        <w:t>териалов – формы, утвержденные П</w:t>
      </w:r>
      <w:r w:rsidRPr="00760674">
        <w:t>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71а;</w:t>
      </w:r>
    </w:p>
    <w:p w14:paraId="147B3428" w14:textId="77777777" w:rsidR="007C6421" w:rsidRPr="00760674" w:rsidRDefault="007C6421" w:rsidP="00C43EE1">
      <w:pPr>
        <w:pStyle w:val="12"/>
      </w:pPr>
      <w:r w:rsidRPr="00760674">
        <w:t>По расчетам с подотчетными лицами – форма N</w:t>
      </w:r>
      <w:r>
        <w:t xml:space="preserve"> АО-1, утвержденная П</w:t>
      </w:r>
      <w:r w:rsidRPr="00760674">
        <w:t>остановлением Госкомстата от 01.08.2001 N 55</w:t>
      </w:r>
    </w:p>
    <w:p w14:paraId="558CAAFC" w14:textId="77777777" w:rsidR="007C6421" w:rsidRPr="00760674" w:rsidRDefault="007C6421" w:rsidP="00C43EE1">
      <w:pPr>
        <w:pStyle w:val="12"/>
      </w:pPr>
      <w:r w:rsidRPr="00760674">
        <w:t>При перевозке грузов – форма транспортной накладной, утвержденной Приложение</w:t>
      </w:r>
      <w:r>
        <w:t>м</w:t>
      </w:r>
      <w:r w:rsidRPr="00760674">
        <w:t xml:space="preserve"> 4 Постановления Правительства от 21.12.2020 N 2200 (Приложение N</w:t>
      </w:r>
      <w:r>
        <w:t xml:space="preserve"> </w:t>
      </w:r>
      <w:r w:rsidRPr="00760674">
        <w:t>2);</w:t>
      </w:r>
    </w:p>
    <w:p w14:paraId="10887831" w14:textId="77777777" w:rsidR="007C6421" w:rsidRPr="00760674" w:rsidRDefault="007C6421" w:rsidP="00C43EE1">
      <w:pPr>
        <w:pStyle w:val="12"/>
      </w:pPr>
      <w:r w:rsidRPr="00760674">
        <w:t xml:space="preserve">По учету кассовых </w:t>
      </w:r>
      <w:r>
        <w:t>операций – формы, утвержденные П</w:t>
      </w:r>
      <w:r w:rsidRPr="00760674">
        <w:t>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88;</w:t>
      </w:r>
    </w:p>
    <w:p w14:paraId="5E779FD4" w14:textId="77777777" w:rsidR="007C6421" w:rsidRDefault="007C6421" w:rsidP="00C43EE1">
      <w:pPr>
        <w:pStyle w:val="12"/>
      </w:pPr>
      <w:r w:rsidRPr="00760674">
        <w:t>По отгрузке товаров – форма N</w:t>
      </w:r>
      <w:r>
        <w:t xml:space="preserve"> ТОРГ-12, утвержденная П</w:t>
      </w:r>
      <w:r w:rsidRPr="00760674">
        <w:t>остановлением Госкомстата от 25.12.1998 N 132</w:t>
      </w:r>
      <w:r>
        <w:t>;</w:t>
      </w:r>
    </w:p>
    <w:p w14:paraId="2E3B726A" w14:textId="77777777" w:rsidR="007C6421" w:rsidRPr="00760674" w:rsidRDefault="007C6421" w:rsidP="00C43EE1">
      <w:pPr>
        <w:pStyle w:val="12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</w:t>
      </w:r>
      <w:r>
        <w:t xml:space="preserve">013 N ММВ-20-3/96@ (Приложение </w:t>
      </w:r>
      <w:r>
        <w:rPr>
          <w:lang w:val="en-US"/>
        </w:rPr>
        <w:t>N</w:t>
      </w:r>
      <w:r>
        <w:t xml:space="preserve"> </w:t>
      </w:r>
      <w:r w:rsidRPr="00E64A40">
        <w:t>1 к приказу)</w:t>
      </w:r>
      <w:r>
        <w:t>;</w:t>
      </w:r>
    </w:p>
    <w:p w14:paraId="39A123A6" w14:textId="77777777" w:rsidR="007C6421" w:rsidRPr="00760674" w:rsidRDefault="007C6421" w:rsidP="00C43EE1">
      <w:pPr>
        <w:pStyle w:val="12"/>
      </w:pPr>
      <w:r w:rsidRPr="00760674">
        <w:t xml:space="preserve">По учету результатов инвентаризации </w:t>
      </w:r>
      <w:r>
        <w:t>– формы, утвержденные П</w:t>
      </w:r>
      <w:r w:rsidRPr="00760674">
        <w:t>остановлением Госкомстата от 18.08.</w:t>
      </w:r>
      <w:r>
        <w:t>1998 N 88.</w:t>
      </w:r>
    </w:p>
    <w:p w14:paraId="6FA81D4A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1F78A1A9" w14:textId="60228C3A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первичные учетные документы в соответствии с самостоятельно разработанными формам</w:t>
      </w:r>
      <w:r>
        <w:rPr>
          <w:rFonts w:ascii="Arial Narrow" w:eastAsia="Times New Roman" w:hAnsi="Arial Narrow" w:cs="Times New Roman"/>
          <w:sz w:val="26"/>
          <w:szCs w:val="26"/>
        </w:rPr>
        <w:t>и</w:t>
      </w:r>
      <w:r w:rsidRPr="007C6421">
        <w:rPr>
          <w:rFonts w:ascii="Arial Narrow" w:eastAsia="Times New Roman" w:hAnsi="Arial Narrow" w:cs="Times New Roman"/>
          <w:sz w:val="26"/>
          <w:szCs w:val="26"/>
        </w:rPr>
        <w:t>:</w:t>
      </w:r>
    </w:p>
    <w:p w14:paraId="02982654" w14:textId="77777777" w:rsidR="00187E67" w:rsidRPr="00760674" w:rsidRDefault="00187E67" w:rsidP="00E22CAE">
      <w:pPr>
        <w:pStyle w:val="12"/>
      </w:pPr>
      <w:r w:rsidRPr="00760674">
        <w:t xml:space="preserve">По учету списания материалов – </w:t>
      </w:r>
      <w:hyperlink r:id="rId9" w:history="1">
        <w:r w:rsidRPr="00A005DF">
          <w:rPr>
            <w:rStyle w:val="af9"/>
          </w:rPr>
          <w:t>Акт о списании материалов</w:t>
        </w:r>
      </w:hyperlink>
      <w:r w:rsidRPr="00760674">
        <w:t>;</w:t>
      </w:r>
    </w:p>
    <w:p w14:paraId="22031D9D" w14:textId="77777777" w:rsidR="00187E67" w:rsidRDefault="00187E67" w:rsidP="00E22CAE">
      <w:pPr>
        <w:pStyle w:val="12"/>
      </w:pPr>
      <w:r w:rsidRPr="00760674">
        <w:t xml:space="preserve">По учету выполненных работ или услуг – </w:t>
      </w:r>
      <w:hyperlink r:id="rId10" w:history="1">
        <w:r w:rsidRPr="00A005DF">
          <w:rPr>
            <w:rStyle w:val="af9"/>
          </w:rPr>
          <w:t>Акт выполненных работ (оказанных услуг);</w:t>
        </w:r>
      </w:hyperlink>
    </w:p>
    <w:p w14:paraId="7B286F42" w14:textId="77777777" w:rsidR="007E2F3F" w:rsidRDefault="007E2F3F" w:rsidP="007E2F3F">
      <w:pPr>
        <w:pStyle w:val="12"/>
      </w:pPr>
      <w:r>
        <w:t xml:space="preserve">По изменению элементов амортизации </w:t>
      </w:r>
      <w:r w:rsidRPr="00760674">
        <w:t xml:space="preserve">– </w:t>
      </w:r>
      <w:r>
        <w:t xml:space="preserve"> </w:t>
      </w:r>
      <w:hyperlink r:id="rId11" w:history="1">
        <w:r w:rsidRPr="00CA5987">
          <w:rPr>
            <w:rStyle w:val="af9"/>
          </w:rPr>
          <w:t>Протокол изменения элементов амортизации;</w:t>
        </w:r>
      </w:hyperlink>
    </w:p>
    <w:p w14:paraId="59414304" w14:textId="2B70B90E" w:rsidR="007E2F3F" w:rsidRDefault="007E2F3F" w:rsidP="007E2F3F">
      <w:pPr>
        <w:pStyle w:val="12"/>
      </w:pPr>
      <w:r>
        <w:t xml:space="preserve">По определению параметров ОС при вводе в эксплуатацию </w:t>
      </w:r>
      <w:r w:rsidRPr="00760674">
        <w:t xml:space="preserve">– </w:t>
      </w:r>
      <w:hyperlink r:id="rId12" w:history="1">
        <w:r w:rsidRPr="00CA5987">
          <w:rPr>
            <w:rStyle w:val="af9"/>
          </w:rPr>
          <w:t>Приказ о принятии к учету и вводу в эксплуатацию ОС</w:t>
        </w:r>
      </w:hyperlink>
      <w:r>
        <w:t>;</w:t>
      </w:r>
    </w:p>
    <w:p w14:paraId="1E780FE0" w14:textId="39C4E313" w:rsidR="001D7C68" w:rsidRPr="00760674" w:rsidRDefault="001D7C68" w:rsidP="00756D13">
      <w:pPr>
        <w:pStyle w:val="12"/>
      </w:pPr>
      <w:r w:rsidRPr="00760674">
        <w:t xml:space="preserve">По отражению прочих фактов хозяйственной жизни – </w:t>
      </w:r>
      <w:hyperlink r:id="rId13" w:history="1">
        <w:r w:rsidRPr="00094F2D">
          <w:rPr>
            <w:rStyle w:val="af9"/>
          </w:rPr>
          <w:t>Бухгалтерская справка</w:t>
        </w:r>
      </w:hyperlink>
      <w:r>
        <w:t>.</w:t>
      </w:r>
    </w:p>
    <w:p w14:paraId="032F4527" w14:textId="77777777" w:rsidR="007C6421" w:rsidRPr="007C6421" w:rsidRDefault="007C6421" w:rsidP="00E22CAE">
      <w:pPr>
        <w:numPr>
          <w:ilvl w:val="0"/>
          <w:numId w:val="21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477CA257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136CADCA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6C167A87" w14:textId="77777777" w:rsidR="007C6421" w:rsidRPr="007C6421" w:rsidRDefault="007C6421" w:rsidP="00317BC6">
      <w:pPr>
        <w:pageBreakBefore/>
        <w:spacing w:after="140"/>
        <w:ind w:left="142" w:right="142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lastRenderedPageBreak/>
        <w:t>Приложение N 3. Регистры бухгалтерского учета</w:t>
      </w:r>
    </w:p>
    <w:p w14:paraId="356780E2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3 к Приказу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</w:t>
      </w:r>
      <w:r w:rsidRPr="007C6421">
        <w:rPr>
          <w:rFonts w:ascii="Arial Narrow" w:eastAsia="Times New Roman" w:hAnsi="Arial Narrow" w:cs="Times New Roman"/>
          <w:sz w:val="24"/>
          <w:szCs w:val="24"/>
        </w:rPr>
        <w:t>"</w:t>
      </w:r>
    </w:p>
    <w:p w14:paraId="5EC8310C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Регистры бухгалтерского учета</w:t>
      </w:r>
    </w:p>
    <w:p w14:paraId="410E761F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регистры бухгалтерского учета в соответствии с самостоятельно разработанными формами:</w:t>
      </w:r>
    </w:p>
    <w:p w14:paraId="62D65827" w14:textId="77777777" w:rsidR="007C6421" w:rsidRPr="007C6421" w:rsidRDefault="007C6421" w:rsidP="00C43EE1">
      <w:pPr>
        <w:pStyle w:val="12"/>
      </w:pPr>
      <w:r w:rsidRPr="007C6421">
        <w:t>Для формирования сводных данных – Оборотно-сальдовая ведомость.</w:t>
      </w:r>
    </w:p>
    <w:p w14:paraId="5400C8A7" w14:textId="77777777" w:rsidR="007C6421" w:rsidRPr="007C6421" w:rsidRDefault="007C6421" w:rsidP="00C43EE1">
      <w:pPr>
        <w:pStyle w:val="12"/>
      </w:pPr>
      <w:r w:rsidRPr="007C6421">
        <w:t>Для формирования развернутых данных по счету учета - Оборотно-сальдовая ведомость по счету или Анализ счета.</w:t>
      </w:r>
    </w:p>
    <w:p w14:paraId="3D1E8B8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57DAAFB9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7B94409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017DFE4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98FB597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7936419D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31800E96" w14:textId="77777777" w:rsidR="007C6421" w:rsidRPr="007C6421" w:rsidRDefault="007C6421" w:rsidP="007C6421">
      <w:pPr>
        <w:shd w:val="clear" w:color="auto" w:fill="F79646"/>
        <w:spacing w:after="140"/>
        <w:ind w:left="142" w:right="14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t>Учетная политика по НУ</w:t>
      </w:r>
    </w:p>
    <w:p w14:paraId="18BC4F5C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0B3D3F1D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 xml:space="preserve">Об учетной политике 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>ООО "ТЕХНОМИР"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47AAE1F9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</w:rPr>
      </w:pPr>
    </w:p>
    <w:p w14:paraId="01ABEE45" w14:textId="7CEB37C4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sz w:val="26"/>
        </w:rPr>
        <w:t>г. Москва</w:t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  <w:t xml:space="preserve">31 декабря </w:t>
      </w:r>
      <w:r w:rsidR="00C43EE1" w:rsidRPr="007C6421">
        <w:rPr>
          <w:rFonts w:ascii="Arial Narrow" w:eastAsia="Times New Roman" w:hAnsi="Arial Narrow" w:cs="Times New Roman"/>
          <w:sz w:val="26"/>
        </w:rPr>
        <w:t>202</w:t>
      </w:r>
      <w:r w:rsidR="00C43EE1">
        <w:rPr>
          <w:rFonts w:ascii="Arial Narrow" w:eastAsia="Times New Roman" w:hAnsi="Arial Narrow" w:cs="Times New Roman"/>
          <w:sz w:val="26"/>
        </w:rPr>
        <w:t>2</w:t>
      </w:r>
      <w:r w:rsidR="00C43EE1" w:rsidRPr="007C6421">
        <w:rPr>
          <w:rFonts w:ascii="Arial Narrow" w:eastAsia="Times New Roman" w:hAnsi="Arial Narrow" w:cs="Times New Roman"/>
          <w:sz w:val="26"/>
        </w:rPr>
        <w:t xml:space="preserve"> </w:t>
      </w:r>
      <w:r w:rsidRPr="007C6421">
        <w:rPr>
          <w:rFonts w:ascii="Arial Narrow" w:eastAsia="Times New Roman" w:hAnsi="Arial Narrow" w:cs="Times New Roman"/>
          <w:sz w:val="26"/>
        </w:rPr>
        <w:t>г.</w:t>
      </w:r>
    </w:p>
    <w:p w14:paraId="3BE07441" w14:textId="77777777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b/>
          <w:sz w:val="26"/>
        </w:rPr>
        <w:t>ПРИКАЗЫВАЮ</w:t>
      </w:r>
    </w:p>
    <w:p w14:paraId="2CD8BB62" w14:textId="66C75C34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Ввести в действие с 01 января </w:t>
      </w:r>
      <w:r w:rsidR="00C43EE1" w:rsidRPr="007C6421">
        <w:rPr>
          <w:rFonts w:ascii="Arial Narrow" w:eastAsia="Times New Roman" w:hAnsi="Arial Narrow" w:cs="Times New Roman"/>
          <w:sz w:val="26"/>
          <w:szCs w:val="26"/>
        </w:rPr>
        <w:t>202</w:t>
      </w:r>
      <w:r w:rsidR="00C43EE1">
        <w:rPr>
          <w:rFonts w:ascii="Arial Narrow" w:eastAsia="Times New Roman" w:hAnsi="Arial Narrow" w:cs="Times New Roman"/>
          <w:sz w:val="26"/>
          <w:szCs w:val="26"/>
        </w:rPr>
        <w:t>3</w:t>
      </w:r>
      <w:r w:rsidR="00C43EE1" w:rsidRPr="007C6421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7C6421">
        <w:rPr>
          <w:rFonts w:ascii="Arial Narrow" w:eastAsia="Times New Roman" w:hAnsi="Arial Narrow" w:cs="Times New Roman"/>
          <w:sz w:val="26"/>
          <w:szCs w:val="26"/>
        </w:rPr>
        <w:t>года следующую учетную политику для целей налогового учета ООО "ТЕХНОМИР" при применении упрощенной системы налогообложения н</w:t>
      </w:r>
      <w:r w:rsidR="00B834B5">
        <w:rPr>
          <w:rFonts w:ascii="Arial Narrow" w:eastAsia="Times New Roman" w:hAnsi="Arial Narrow" w:cs="Times New Roman"/>
          <w:sz w:val="26"/>
          <w:szCs w:val="26"/>
        </w:rPr>
        <w:t>а объекте доходы минус расходы:</w:t>
      </w:r>
    </w:p>
    <w:p w14:paraId="119959F3" w14:textId="77777777" w:rsidR="007C6421" w:rsidRPr="007C6421" w:rsidRDefault="007C6421" w:rsidP="00EE328E">
      <w:pPr>
        <w:numPr>
          <w:ilvl w:val="0"/>
          <w:numId w:val="23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14:paraId="431C6D5C" w14:textId="77777777" w:rsidR="007C6421" w:rsidRPr="007C6421" w:rsidRDefault="007C6421" w:rsidP="00EE328E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1С.</w:t>
      </w:r>
    </w:p>
    <w:p w14:paraId="349C3119" w14:textId="77777777" w:rsidR="007C6421" w:rsidRPr="007C6421" w:rsidRDefault="007C6421" w:rsidP="00EE328E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осуществлять по следующим правилам:</w:t>
      </w:r>
    </w:p>
    <w:p w14:paraId="67145B47" w14:textId="77777777" w:rsidR="007C6421" w:rsidRPr="007C6421" w:rsidRDefault="007C6421" w:rsidP="00317BC6">
      <w:pPr>
        <w:pageBreakBefore/>
        <w:numPr>
          <w:ilvl w:val="0"/>
          <w:numId w:val="24"/>
        </w:numPr>
        <w:spacing w:before="0" w:after="200" w:line="276" w:lineRule="auto"/>
        <w:ind w:left="142" w:right="142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lastRenderedPageBreak/>
        <w:t>Объект налогообложения</w:t>
      </w:r>
    </w:p>
    <w:p w14:paraId="12FEB2C6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Организация применяет упрощенную систему с объектом налогообложения "доходы минус расходы".</w:t>
      </w:r>
    </w:p>
    <w:p w14:paraId="501D12B2" w14:textId="77777777" w:rsidR="007C6421" w:rsidRPr="007C6421" w:rsidRDefault="007C6421" w:rsidP="00EE328E">
      <w:pPr>
        <w:numPr>
          <w:ilvl w:val="0"/>
          <w:numId w:val="24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расходов при определении налогооблагаемой базы</w:t>
      </w:r>
    </w:p>
    <w:p w14:paraId="06631C6C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произведена.</w:t>
      </w:r>
    </w:p>
    <w:p w14:paraId="234601F9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по приобретению товаров включаются в состав расходов Книги учета доходов и расходов в соответствии с НК РФ только после того, как товары приняты к учету, оплата за них произведена поставщику, и произведена реализация данных товаров.</w:t>
      </w:r>
    </w:p>
    <w:p w14:paraId="4FC683C6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доставку приобретенных товаров до склада организации, если стоимость их доставки не включена в цену товаров (выделена отдельно), включаются в состав расходов Книги учета доходов и расходов в соответствии с НК РФ только после того, услуги по доставке товаров оказаны, после их фактической оплаты.</w:t>
      </w:r>
    </w:p>
    <w:p w14:paraId="0DBA265D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Дополнительные расходы учитываются в составе расходов, уменьшаемых налогооблагаемую базу, если одновременно выполняются условия – расходы осуществлены (услуги оказаны) и оплата за них произведена.</w:t>
      </w:r>
    </w:p>
    <w:p w14:paraId="395E72AF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</w:t>
      </w:r>
    </w:p>
    <w:p w14:paraId="7762868D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14:paraId="19D0CD68" w14:textId="402D223A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приобретение (сооружение, изготовление) основных средств включа</w:t>
      </w:r>
      <w:r w:rsidR="00E22CAE">
        <w:rPr>
          <w:rFonts w:ascii="Arial Narrow" w:eastAsia="Times New Roman" w:hAnsi="Arial Narrow" w:cs="Times New Roman"/>
          <w:spacing w:val="-2"/>
          <w:sz w:val="26"/>
          <w:szCs w:val="26"/>
        </w:rPr>
        <w:t>ю</w:t>
      </w: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</w:t>
      </w:r>
    </w:p>
    <w:p w14:paraId="7A64BDC2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Суммы входящего НДС по основным средствам и нематериальным активам при расчете единого налога учитываются в их стоимости.</w:t>
      </w:r>
    </w:p>
    <w:p w14:paraId="05D0B769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Calibri" w:hAnsi="Arial Narrow" w:cs="Times New Roman"/>
          <w:spacing w:val="-2"/>
          <w:sz w:val="26"/>
          <w:szCs w:val="26"/>
        </w:rPr>
        <w:t>Расходы на приобретение (создание) нематериальных активов включатся в состав расходов Книги учета доходов и расходов в соответствии с НК РФ только после принятия нематериальных активов к бухгалтерскому учету и после их фактической оплаты. Если нематериальный актив оплачен частично, то в Книге учета доходов и расходов делается запись на частичную сумму оплаты.</w:t>
      </w:r>
    </w:p>
    <w:p w14:paraId="3318FB68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</w:p>
    <w:p w14:paraId="04C93621" w14:textId="765265DE" w:rsidR="007C6421" w:rsidRPr="007C6421" w:rsidRDefault="007C6421" w:rsidP="00317BC6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Генеральный директор </w:t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  <w:t>/</w:t>
      </w:r>
    </w:p>
    <w:p w14:paraId="6AE1EF87" w14:textId="77777777" w:rsidR="00C9305E" w:rsidRPr="003523BB" w:rsidRDefault="00C9305E" w:rsidP="007C6421">
      <w:pPr>
        <w:ind w:left="142" w:right="140" w:firstLine="0"/>
      </w:pPr>
    </w:p>
    <w:sectPr w:rsidR="00C9305E" w:rsidRPr="003523BB" w:rsidSect="00A8678E">
      <w:headerReference w:type="default" r:id="rId14"/>
      <w:footerReference w:type="default" r:id="rId15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909F" w14:textId="77777777" w:rsidR="00B93003" w:rsidRDefault="00B93003" w:rsidP="00F1648E">
      <w:pPr>
        <w:spacing w:before="0" w:after="0"/>
      </w:pPr>
      <w:r>
        <w:separator/>
      </w:r>
    </w:p>
  </w:endnote>
  <w:endnote w:type="continuationSeparator" w:id="0">
    <w:p w14:paraId="14BECC8D" w14:textId="77777777" w:rsidR="00B93003" w:rsidRDefault="00B93003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486D418A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9CC7" w14:textId="77777777" w:rsidR="00B93003" w:rsidRDefault="00B93003" w:rsidP="00F1648E">
      <w:pPr>
        <w:spacing w:before="0" w:after="0"/>
      </w:pPr>
      <w:r>
        <w:separator/>
      </w:r>
    </w:p>
  </w:footnote>
  <w:footnote w:type="continuationSeparator" w:id="0">
    <w:p w14:paraId="0520FBD6" w14:textId="77777777" w:rsidR="00B93003" w:rsidRDefault="00B93003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46"/>
      <w:gridCol w:w="9207"/>
      <w:gridCol w:w="862"/>
    </w:tblGrid>
    <w:tr w:rsidR="003626D7" w14:paraId="6C5232A8" w14:textId="77777777" w:rsidTr="007C6421">
      <w:trPr>
        <w:trHeight w:val="257"/>
        <w:jc w:val="center"/>
      </w:trPr>
      <w:tc>
        <w:tcPr>
          <w:tcW w:w="846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.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buhexpert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8.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862" w:type="dxa"/>
          <w:vAlign w:val="center"/>
        </w:tcPr>
        <w:p w14:paraId="5718C534" w14:textId="66419296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A005DF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7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msoAB56"/>
      </v:shape>
    </w:pict>
  </w:numPicBullet>
  <w:abstractNum w:abstractNumId="0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1" w15:restartNumberingAfterBreak="0">
    <w:nsid w:val="02CF6017"/>
    <w:multiLevelType w:val="hybridMultilevel"/>
    <w:tmpl w:val="5D54C5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5D32BED"/>
    <w:multiLevelType w:val="hybridMultilevel"/>
    <w:tmpl w:val="BCD84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C73"/>
    <w:multiLevelType w:val="hybridMultilevel"/>
    <w:tmpl w:val="7E5ACE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3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00393"/>
    <w:multiLevelType w:val="hybridMultilevel"/>
    <w:tmpl w:val="8C8A2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0844B39"/>
    <w:multiLevelType w:val="hybridMultilevel"/>
    <w:tmpl w:val="C80E62E4"/>
    <w:lvl w:ilvl="0" w:tplc="260C0F7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DB9703B"/>
    <w:multiLevelType w:val="hybridMultilevel"/>
    <w:tmpl w:val="4558A5FA"/>
    <w:lvl w:ilvl="0" w:tplc="015C9610">
      <w:start w:val="1"/>
      <w:numFmt w:val="bullet"/>
      <w:pStyle w:val="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40619"/>
    <w:multiLevelType w:val="hybridMultilevel"/>
    <w:tmpl w:val="F45044A2"/>
    <w:lvl w:ilvl="0" w:tplc="29447D8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4692C"/>
    <w:multiLevelType w:val="hybridMultilevel"/>
    <w:tmpl w:val="3828D4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D5DE0"/>
    <w:multiLevelType w:val="hybridMultilevel"/>
    <w:tmpl w:val="480C48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21"/>
  </w:num>
  <w:num w:numId="5">
    <w:abstractNumId w:val="12"/>
  </w:num>
  <w:num w:numId="6">
    <w:abstractNumId w:val="20"/>
  </w:num>
  <w:num w:numId="7">
    <w:abstractNumId w:val="9"/>
  </w:num>
  <w:num w:numId="8">
    <w:abstractNumId w:val="22"/>
  </w:num>
  <w:num w:numId="9">
    <w:abstractNumId w:val="25"/>
  </w:num>
  <w:num w:numId="10">
    <w:abstractNumId w:val="7"/>
  </w:num>
  <w:num w:numId="11">
    <w:abstractNumId w:val="0"/>
  </w:num>
  <w:num w:numId="12">
    <w:abstractNumId w:val="30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  <w:num w:numId="19">
    <w:abstractNumId w:val="14"/>
  </w:num>
  <w:num w:numId="20">
    <w:abstractNumId w:val="18"/>
  </w:num>
  <w:num w:numId="21">
    <w:abstractNumId w:val="29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 w:numId="27">
    <w:abstractNumId w:val="24"/>
  </w:num>
  <w:num w:numId="28">
    <w:abstractNumId w:val="26"/>
  </w:num>
  <w:num w:numId="29">
    <w:abstractNumId w:val="1"/>
  </w:num>
  <w:num w:numId="30">
    <w:abstractNumId w:val="6"/>
  </w:num>
  <w:num w:numId="31">
    <w:abstractNumId w:val="23"/>
  </w:num>
  <w:num w:numId="32">
    <w:abstractNumId w:val="23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6"/>
  </w:num>
  <w:num w:numId="4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87C"/>
    <w:rsid w:val="00032BA8"/>
    <w:rsid w:val="00041CCA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87E67"/>
    <w:rsid w:val="001927B6"/>
    <w:rsid w:val="001A43F7"/>
    <w:rsid w:val="001B03EE"/>
    <w:rsid w:val="001B1E9E"/>
    <w:rsid w:val="001B3F1D"/>
    <w:rsid w:val="001B5006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D7C68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2B34"/>
    <w:rsid w:val="00234057"/>
    <w:rsid w:val="00240B11"/>
    <w:rsid w:val="002421CE"/>
    <w:rsid w:val="00243626"/>
    <w:rsid w:val="00244622"/>
    <w:rsid w:val="00244B9F"/>
    <w:rsid w:val="00246443"/>
    <w:rsid w:val="00246AEA"/>
    <w:rsid w:val="00255652"/>
    <w:rsid w:val="00257A29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4F92"/>
    <w:rsid w:val="002D5328"/>
    <w:rsid w:val="002D6F69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17BC6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4F15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4A4"/>
    <w:rsid w:val="00380CF4"/>
    <w:rsid w:val="00381AB8"/>
    <w:rsid w:val="00381CC9"/>
    <w:rsid w:val="003856EC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B7071"/>
    <w:rsid w:val="003C0A73"/>
    <w:rsid w:val="003C1194"/>
    <w:rsid w:val="003C55E8"/>
    <w:rsid w:val="003C67C8"/>
    <w:rsid w:val="003C79F3"/>
    <w:rsid w:val="003D07E9"/>
    <w:rsid w:val="003D6178"/>
    <w:rsid w:val="003D6ACB"/>
    <w:rsid w:val="003D6FE1"/>
    <w:rsid w:val="003E0415"/>
    <w:rsid w:val="003E26CF"/>
    <w:rsid w:val="003F0A78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4F745F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0E87"/>
    <w:rsid w:val="00691608"/>
    <w:rsid w:val="00691EBE"/>
    <w:rsid w:val="006A14DB"/>
    <w:rsid w:val="006A1A0F"/>
    <w:rsid w:val="006A232C"/>
    <w:rsid w:val="006A310F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0936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3ABD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B559E"/>
    <w:rsid w:val="007C6421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E2F3F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3E25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72E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1009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8F7691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600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2878"/>
    <w:rsid w:val="009F72A9"/>
    <w:rsid w:val="009F7D63"/>
    <w:rsid w:val="009F7F1A"/>
    <w:rsid w:val="00A005DF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32D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07CA2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3DF8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34B5"/>
    <w:rsid w:val="00B84969"/>
    <w:rsid w:val="00B84F8A"/>
    <w:rsid w:val="00B859E3"/>
    <w:rsid w:val="00B90770"/>
    <w:rsid w:val="00B93003"/>
    <w:rsid w:val="00B93EEF"/>
    <w:rsid w:val="00BA02AC"/>
    <w:rsid w:val="00BA03DB"/>
    <w:rsid w:val="00BA03F0"/>
    <w:rsid w:val="00BA04C7"/>
    <w:rsid w:val="00BA12BA"/>
    <w:rsid w:val="00BA270B"/>
    <w:rsid w:val="00BA3D33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3EE1"/>
    <w:rsid w:val="00C4446D"/>
    <w:rsid w:val="00C44D0E"/>
    <w:rsid w:val="00C45071"/>
    <w:rsid w:val="00C45224"/>
    <w:rsid w:val="00C456DC"/>
    <w:rsid w:val="00C45816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09C8"/>
    <w:rsid w:val="00D025D4"/>
    <w:rsid w:val="00D0434B"/>
    <w:rsid w:val="00D048CC"/>
    <w:rsid w:val="00D10B14"/>
    <w:rsid w:val="00D11A6C"/>
    <w:rsid w:val="00D1428E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2CAE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328E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61AC1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3D6ACB"/>
    <w:pPr>
      <w:numPr>
        <w:numId w:val="33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3D6ACB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19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6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7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18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styleId="afffa">
    <w:name w:val="FollowedHyperlink"/>
    <w:basedOn w:val="a2"/>
    <w:uiPriority w:val="99"/>
    <w:semiHidden/>
    <w:unhideWhenUsed/>
    <w:rsid w:val="00E22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hexpert8.ru/obuchenie-1s/1s-buhgalteriya-8-3/buhgalterskaya-spravka-v-1s-8-3-buhgalteriya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iew.officeapps.live.com/op/view.aspx?src=https%3A%2F%2Fbuhexpert8.ru%2Fwp-content%2Fuploads%2F2018%2F03%2FPril-4-Prinyatie-k-uchetu-OS_BE8.docx&amp;wdOrigin=BROWSE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ew.officeapps.live.com/op/view.aspx?src=https%3A%2F%2Fbuhexpert8.ru%2Fwp-content%2Fuploads%2F2018%2F03%2FPril-3-Protokol-izm.el.amort_BE8.docx&amp;wdOrigin=BROWSELI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uhexpert8.ru/obuchenie-1s/1s-buhgalteriya-8-3/akt-vypolnennyh-rabot-v-1s-8-3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buhexpert8.ru/1s-buhgalteriya/materialy/ispolzovanie-materialov/akt-spisaniya-v-1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C6AD15-241D-4850-B573-CF2BABC3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2</cp:revision>
  <cp:lastPrinted>2022-12-28T07:05:00Z</cp:lastPrinted>
  <dcterms:created xsi:type="dcterms:W3CDTF">2023-02-01T11:14:00Z</dcterms:created>
  <dcterms:modified xsi:type="dcterms:W3CDTF">2023-02-01T11:14:00Z</dcterms:modified>
</cp:coreProperties>
</file>