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5C7C" w14:textId="77777777" w:rsidR="007C6421" w:rsidRPr="007C6421" w:rsidRDefault="007C6421" w:rsidP="007C6421">
      <w:pPr>
        <w:keepNext/>
        <w:keepLines/>
        <w:shd w:val="clear" w:color="auto" w:fill="E36C0A"/>
        <w:spacing w:before="200" w:after="200" w:line="480" w:lineRule="auto"/>
        <w:ind w:left="142" w:right="140" w:firstLine="0"/>
        <w:jc w:val="center"/>
        <w:outlineLvl w:val="0"/>
        <w:rPr>
          <w:rFonts w:ascii="Arial Narrow" w:eastAsia="Times New Roman" w:hAnsi="Arial Narrow" w:cs="Times New Roman"/>
          <w:b/>
          <w:bCs/>
          <w:sz w:val="26"/>
          <w:szCs w:val="28"/>
        </w:rPr>
      </w:pP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>Пример учетной политики для организации, имеющей право на упрощенные способы учета, (УСН 15 %) на 2022 год</w:t>
      </w:r>
    </w:p>
    <w:p w14:paraId="3B4BBFAB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Воспользуйтесь приказом об утверждении учетной политики на 2022 для формирования своей идеальной учетной политики</w:t>
      </w:r>
    </w:p>
    <w:p w14:paraId="6404D730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Пример подготовлен для организации производства, торговли, услуг, работ, которая может воспользоваться упрощенными способами ведения бухучета. Налоговая учетная политика приведена для УСН на объекте доходы – расходы.</w:t>
      </w:r>
    </w:p>
    <w:p w14:paraId="28C04500" w14:textId="77777777" w:rsidR="007C6421" w:rsidRPr="007C6421" w:rsidRDefault="007C6421" w:rsidP="007C6421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БУ</w:t>
      </w:r>
    </w:p>
    <w:p w14:paraId="2B652823" w14:textId="77777777" w:rsidR="004F745F" w:rsidRPr="004F745F" w:rsidRDefault="004F745F" w:rsidP="004F745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2C193F7" w14:textId="77777777" w:rsidR="004F745F" w:rsidRPr="004F745F" w:rsidRDefault="004F745F" w:rsidP="004F745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37564EFC" w14:textId="77777777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proofErr w:type="spellStart"/>
      <w:r w:rsidRPr="004F745F">
        <w:rPr>
          <w:rFonts w:ascii="Arial Narrow" w:eastAsia="Times New Roman" w:hAnsi="Arial Narrow" w:cs="Times New Roman"/>
          <w:sz w:val="26"/>
          <w:szCs w:val="26"/>
        </w:rPr>
        <w:t>г.Москва</w:t>
      </w:r>
      <w:proofErr w:type="spellEnd"/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   </w:t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  <w:t>31 декабря 2021 г.</w:t>
      </w:r>
    </w:p>
    <w:p w14:paraId="0520F4BD" w14:textId="77777777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ПРИКАЗЫВАЮ</w:t>
      </w:r>
    </w:p>
    <w:p w14:paraId="5C59AC4F" w14:textId="77777777" w:rsidR="004F745F" w:rsidRPr="004F745F" w:rsidRDefault="004F745F" w:rsidP="004F745F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Ввести в действие с 01 января 2022 года следующую учетную политику ООО "Уютный дом":</w:t>
      </w:r>
    </w:p>
    <w:p w14:paraId="77342EA2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Бухгалтерский учет осуществлять</w:t>
      </w:r>
      <w:r w:rsidRPr="004F7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27EDF82F" w14:textId="77777777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6F56FC50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771A6FB6" w14:textId="77777777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4C3C93A0" w14:textId="77777777" w:rsidR="004F745F" w:rsidRPr="004F745F" w:rsidRDefault="004F745F" w:rsidP="004F745F">
      <w:pPr>
        <w:numPr>
          <w:ilvl w:val="0"/>
          <w:numId w:val="20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4AF83A5D" w14:textId="77777777" w:rsidR="004F745F" w:rsidRPr="004F745F" w:rsidRDefault="004F745F" w:rsidP="004F745F">
      <w:pPr>
        <w:numPr>
          <w:ilvl w:val="0"/>
          <w:numId w:val="20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по следующим правилам:</w:t>
      </w:r>
    </w:p>
    <w:p w14:paraId="2FE3E870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основных средств</w:t>
      </w:r>
    </w:p>
    <w:p w14:paraId="5558E4AE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Отражение последствий изменения учетной политики в связи с переходом на ФСБУ 6/2020 "Основные средства" осуществляется ретроспективно в упрощенном порядке.</w:t>
      </w:r>
    </w:p>
    <w:p w14:paraId="4E49D8CD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lastRenderedPageBreak/>
        <w:t>При этом руководствуясь исключительно требованием рациональности согласно п. 7.4. ПБУ 1/2008 основные средства, стоимостью ниже лимита, указанного в п. 1.3, не подлежат списанию с бухгалтерского учета на дату перехода, а продолжают учитываться в качестве ОС и амортизироваться, если данные объекты являются амортизируемым имуществом в налоговом учете.</w:t>
      </w:r>
    </w:p>
    <w:p w14:paraId="020F186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color w:val="222222"/>
          <w:sz w:val="26"/>
          <w:szCs w:val="26"/>
          <w:shd w:val="clear" w:color="auto" w:fill="FFFFFF"/>
        </w:rPr>
        <w:t>Отражение последствий изменения учетной политики в связи с переходом на ФСБУ 26/2020 "Капитальные вложения" осуществляется перспективно.</w:t>
      </w:r>
    </w:p>
    <w:p w14:paraId="1827D86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4F745F">
        <w:rPr>
          <w:rFonts w:ascii="Arial Narrow" w:eastAsia="Calibri" w:hAnsi="Arial Narrow" w:cs="Times New Roman"/>
          <w:sz w:val="26"/>
          <w:szCs w:val="26"/>
        </w:rPr>
        <w:t>К несущественным активам организации относятся:</w:t>
      </w:r>
    </w:p>
    <w:p w14:paraId="4BA67922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ОС стоимостью за единицу до 100 000 руб.;</w:t>
      </w:r>
    </w:p>
    <w:p w14:paraId="4C81EC49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затраты на ремонт и техническое обслуживание ОС периодичностью более 12 месяцев стоимостью до 100 000 руб.;</w:t>
      </w:r>
    </w:p>
    <w:p w14:paraId="2F528BAE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Стоимостной лимит для несущественных ОС проверяется ежегодно.</w:t>
      </w:r>
    </w:p>
    <w:p w14:paraId="0CC55FEA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Учет несущественных активов ведется на счете 10.21 "Малоценное оборудование и запасы" по </w:t>
      </w:r>
      <w:proofErr w:type="spellStart"/>
      <w:r w:rsidRPr="004F745F">
        <w:rPr>
          <w:rFonts w:ascii="Arial Narrow" w:eastAsia="Times New Roman" w:hAnsi="Arial Narrow" w:cs="Times New Roman"/>
          <w:sz w:val="26"/>
          <w:szCs w:val="26"/>
        </w:rPr>
        <w:t>субсчетам</w:t>
      </w:r>
      <w:proofErr w:type="spellEnd"/>
      <w:r w:rsidRPr="004F745F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0AFD5559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10.21.1 "Приобретение малоценного оборудования и запасов";</w:t>
      </w:r>
    </w:p>
    <w:p w14:paraId="33BFF9CB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10.21.2 "Выбытие малоценного оборудования и запасов".</w:t>
      </w:r>
    </w:p>
    <w:p w14:paraId="66DEBF01" w14:textId="77777777" w:rsidR="004F745F" w:rsidRPr="004F745F" w:rsidRDefault="004F745F" w:rsidP="004F745F">
      <w:pPr>
        <w:spacing w:after="140"/>
        <w:ind w:left="0" w:firstLine="567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приобретения (создания) активов:</w:t>
      </w:r>
    </w:p>
    <w:p w14:paraId="0A52768A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10.21.1 </w:t>
      </w: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60 - оприходование активов;</w:t>
      </w:r>
    </w:p>
    <w:p w14:paraId="189A3233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счета расходов </w:t>
      </w: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10.21.2 – признание в расходах стоимости активов;</w:t>
      </w:r>
    </w:p>
    <w:p w14:paraId="6E848C7E" w14:textId="77777777" w:rsidR="004F745F" w:rsidRPr="004F745F" w:rsidRDefault="004F745F" w:rsidP="004F745F">
      <w:pPr>
        <w:ind w:left="1134" w:firstLine="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Счет расходов соответствует счету расходов, куда включалась бы амортизация несущественных активов.</w:t>
      </w:r>
    </w:p>
    <w:p w14:paraId="6E0E9FED" w14:textId="77777777" w:rsidR="004F745F" w:rsidRPr="004F745F" w:rsidRDefault="004F745F" w:rsidP="004F745F">
      <w:pPr>
        <w:spacing w:after="140"/>
        <w:ind w:left="0" w:firstLine="851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передачи в эксплуатацию несущественных активов:</w:t>
      </w:r>
    </w:p>
    <w:p w14:paraId="421A4580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10.21.2 </w:t>
      </w: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10.21.1 – передача в эксплуатацию активов;</w:t>
      </w:r>
    </w:p>
    <w:p w14:paraId="04E929D4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МЦ.ХХХ – оприходование за балансом активов.</w:t>
      </w:r>
    </w:p>
    <w:p w14:paraId="7FF653D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Учет ведется отдельно по каждому инвентарному объекту.</w:t>
      </w:r>
    </w:p>
    <w:p w14:paraId="27FAAD2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Фактические затраты при осуществлении капитальных вложений определяются 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вложения. Фактическая себестоимость капвложений при оплате 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неденежными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средствами соответствует балансовой стоимости передаваемых активов.</w:t>
      </w:r>
    </w:p>
    <w:p w14:paraId="56D09EF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Амортизация начисляется ежемесячно с 1-го числа месяца, следующего за месяцем признания основного средства в бухучете, линейным способом по всем объектам.</w:t>
      </w:r>
    </w:p>
    <w:p w14:paraId="1C6FF4C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Ликвидационная стоимость основного средства определяется, если выгода от его выбытия составит более 100 тыс. руб. Иначе она признается равной нулю.</w:t>
      </w:r>
    </w:p>
    <w:p w14:paraId="0E0E37D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5281A3E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Последующая оценка основных средств на отчетную дату осуществляется по первоначальной стоимости.</w:t>
      </w:r>
    </w:p>
    <w:p w14:paraId="527A8CFE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нематериальных активов</w:t>
      </w:r>
    </w:p>
    <w:p w14:paraId="427FDA9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Амортизация начисляется линейным способом по всем объектам нематериальных активов.</w:t>
      </w:r>
    </w:p>
    <w:p w14:paraId="3DF0D4E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запасов (материалов, товаров)</w:t>
      </w:r>
    </w:p>
    <w:p w14:paraId="5B246EC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показателей.</w:t>
      </w:r>
    </w:p>
    <w:p w14:paraId="1FBB498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К запасам относятся активы, используемые в течение 12 месяцев:</w:t>
      </w:r>
    </w:p>
    <w:p w14:paraId="6F00631B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для производства продукции, выполнения работ, оказания услуг, а также для продажи в ходе обычной деятельности.</w:t>
      </w:r>
    </w:p>
    <w:p w14:paraId="7CE7034F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Они учитываются по фактической себестоимости с отражением в учете на счете 10 "Материалы".</w:t>
      </w:r>
    </w:p>
    <w:p w14:paraId="4576DB5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ФСБУ 5 не применяется к запасам,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 следующие группы запасов</w:t>
      </w:r>
      <w:r w:rsidRPr="004F745F">
        <w:rPr>
          <w:rFonts w:ascii="Arial Narrow" w:eastAsia="Calibri" w:hAnsi="Arial Narrow" w:cs="Times New Roman"/>
          <w:sz w:val="26"/>
        </w:rPr>
        <w:t>, не зависимо от их стоимости:</w:t>
      </w:r>
    </w:p>
    <w:p w14:paraId="7BC8A8BC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5BFE2D3B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хозяйственный инвентарь и приспособления;</w:t>
      </w:r>
    </w:p>
    <w:p w14:paraId="411A10DE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мебель.</w:t>
      </w:r>
    </w:p>
    <w:p w14:paraId="2005E5B9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1.3.</w:t>
      </w:r>
    </w:p>
    <w:p w14:paraId="1D4AB23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55A3B0CF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офисные канцтовары и принадлежности;</w:t>
      </w:r>
    </w:p>
    <w:p w14:paraId="03C2E452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почтовые товары: конверты, бандероли, марки и др.;</w:t>
      </w:r>
    </w:p>
    <w:p w14:paraId="66BDDF93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вода и материалы для обеспечения нормальных условий труда;</w:t>
      </w:r>
    </w:p>
    <w:p w14:paraId="1D36F6AD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материалы для хозяйственных нужд, поддержанию порядка.</w:t>
      </w:r>
    </w:p>
    <w:p w14:paraId="60A21061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1.3.</w:t>
      </w:r>
    </w:p>
    <w:p w14:paraId="445B48A8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"Товары".</w:t>
      </w:r>
    </w:p>
    <w:p w14:paraId="7CFF32B0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Товары в оптовой и розничной торговле учитываются по фактической себестоимости на счете 41 "Товары".</w:t>
      </w:r>
    </w:p>
    <w:p w14:paraId="65488C1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Фактическая себестоимость запасов при приобретении их 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неденежными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средствами соответствует балансовой стоимости передаваемых активов.</w:t>
      </w:r>
    </w:p>
    <w:p w14:paraId="2B33157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осуществляется.</w:t>
      </w:r>
    </w:p>
    <w:p w14:paraId="61CB382A" w14:textId="104424B6" w:rsidR="004F745F" w:rsidRPr="004F745F" w:rsidRDefault="00720936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D1428E">
        <w:rPr>
          <w:rFonts w:ascii="Arial Narrow" w:hAnsi="Arial Narrow"/>
          <w:spacing w:val="-2"/>
          <w:sz w:val="26"/>
        </w:rPr>
        <w:t xml:space="preserve">При выбытии </w:t>
      </w:r>
      <w:r>
        <w:rPr>
          <w:rFonts w:ascii="Arial Narrow" w:hAnsi="Arial Narrow"/>
          <w:spacing w:val="-2"/>
          <w:sz w:val="26"/>
        </w:rPr>
        <w:t>запасов</w:t>
      </w:r>
      <w:r w:rsidRPr="00D1428E">
        <w:rPr>
          <w:rFonts w:ascii="Arial Narrow" w:hAnsi="Arial Narrow"/>
          <w:spacing w:val="-2"/>
          <w:sz w:val="26"/>
        </w:rPr>
        <w:t xml:space="preserve"> их оценка производится по методу ФИФО</w:t>
      </w:r>
      <w:bookmarkStart w:id="0" w:name="_GoBack"/>
      <w:bookmarkEnd w:id="0"/>
      <w:r w:rsidR="003804A4">
        <w:rPr>
          <w:rFonts w:ascii="Arial Narrow" w:eastAsia="Times New Roman" w:hAnsi="Arial Narrow" w:cs="Times New Roman"/>
          <w:spacing w:val="-2"/>
          <w:sz w:val="26"/>
        </w:rPr>
        <w:t>.</w:t>
      </w:r>
    </w:p>
    <w:p w14:paraId="4C369D7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Учет НЗП и готовой продукции</w:t>
      </w:r>
    </w:p>
    <w:p w14:paraId="6643C1E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В прямые затраты на производство продукции, выполнение работ, оказание услуг включаются:</w:t>
      </w:r>
    </w:p>
    <w:p w14:paraId="5071EB45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3D5B8CAF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 xml:space="preserve">затраты на оплату труда и иные выплаты производственным рабочим (в </w:t>
      </w: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т.ч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>. страховые взносы с зарплаты);</w:t>
      </w:r>
    </w:p>
    <w:p w14:paraId="7C30EE83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амортизация основных средств, используемых непосредственно в производстве;</w:t>
      </w:r>
    </w:p>
    <w:p w14:paraId="7C3B08BA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7FCAD28F" w14:textId="77777777" w:rsidR="004F745F" w:rsidRPr="004F745F" w:rsidRDefault="004F745F" w:rsidP="004F745F">
      <w:pPr>
        <w:spacing w:before="0" w:after="200" w:line="276" w:lineRule="auto"/>
        <w:ind w:left="851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22FCB60E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53E1058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20 "Основное производство" 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Кт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25) пропорционально сумме всех прямых затрат;</w:t>
      </w:r>
    </w:p>
    <w:p w14:paraId="7A9E396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Сверхнормативные затраты учитываются по статье «Сверхнормативные затраты» в 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20 (25). Они признаются:</w:t>
      </w:r>
    </w:p>
    <w:p w14:paraId="230DF094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 xml:space="preserve">расходами в конце месяца в результате ненадлежащей организации производственного процесса, т. е. не включаются в себестоимость НЗП, ГП - Дт90.02 </w:t>
      </w: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20.01, 25;</w:t>
      </w:r>
    </w:p>
    <w:p w14:paraId="68D3197B" w14:textId="77777777" w:rsidR="004F745F" w:rsidRPr="004F745F" w:rsidRDefault="004F745F" w:rsidP="004F745F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 xml:space="preserve">включаются в себестоимость НЗП и ГП, если потери обусловлены технологическим процессом Дт20.01 </w:t>
      </w: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 xml:space="preserve"> 20.01, 25, 28.</w:t>
      </w:r>
    </w:p>
    <w:p w14:paraId="05857AF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(в отчетности) оценка осуществляется по фактической себестоимости (по сумме фактических прямых и косвенных затрат);</w:t>
      </w:r>
    </w:p>
    <w:p w14:paraId="6CCB5C8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производства";</w:t>
      </w:r>
    </w:p>
    <w:p w14:paraId="50A9781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1071DF0F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объектов аренды</w:t>
      </w:r>
    </w:p>
    <w:p w14:paraId="7B86F2D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Отражение последствий изменения учетной политики в связи с переходом на ФСБУ 25/2018 осуществляется перспективно;</w:t>
      </w:r>
    </w:p>
    <w:p w14:paraId="031F7C1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По договорам, истекающим до 31 декабря 2022 года ФСБУ 25/2018 не применяется;</w:t>
      </w:r>
    </w:p>
    <w:p w14:paraId="69E7A78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771238C9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Право пользования активом не признается в отношении предметов аренды по всем договорам, кроме:</w:t>
      </w:r>
    </w:p>
    <w:p w14:paraId="111972F4" w14:textId="77777777" w:rsidR="004F745F" w:rsidRPr="004F745F" w:rsidRDefault="004F745F" w:rsidP="004F745F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лизинговых;</w:t>
      </w:r>
    </w:p>
    <w:p w14:paraId="185BBEE7" w14:textId="77777777" w:rsidR="004F745F" w:rsidRPr="004F745F" w:rsidRDefault="004F745F" w:rsidP="004F745F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договоров, по которым предполагается субаренда.</w:t>
      </w:r>
    </w:p>
    <w:p w14:paraId="12B7699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не признается ППА, арендные платежи в затратах признаются равномерно ежемесячно в течение срока аренды.</w:t>
      </w:r>
    </w:p>
    <w:p w14:paraId="215B0FF0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его фактическая стоимость определяется без включения:</w:t>
      </w:r>
    </w:p>
    <w:p w14:paraId="3D7F3F9B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 xml:space="preserve">затрат в связи с поступлением предмета аренды и доведением до готовности (признаются в расходах в периоде их </w:t>
      </w:r>
      <w:proofErr w:type="spellStart"/>
      <w:r w:rsidRPr="004F745F">
        <w:rPr>
          <w:rFonts w:ascii="Arial Narrow" w:eastAsia="Calibri" w:hAnsi="Arial Narrow" w:cs="Times New Roman"/>
          <w:sz w:val="26"/>
          <w:szCs w:val="26"/>
        </w:rPr>
        <w:t>понесения</w:t>
      </w:r>
      <w:proofErr w:type="spellEnd"/>
      <w:r w:rsidRPr="004F745F">
        <w:rPr>
          <w:rFonts w:ascii="Arial Narrow" w:eastAsia="Calibri" w:hAnsi="Arial Narrow" w:cs="Times New Roman"/>
          <w:sz w:val="26"/>
          <w:szCs w:val="26"/>
        </w:rPr>
        <w:t>);</w:t>
      </w:r>
    </w:p>
    <w:p w14:paraId="55B7F9D8" w14:textId="77777777" w:rsidR="004F745F" w:rsidRPr="004F745F" w:rsidRDefault="004F745F" w:rsidP="004F745F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оценочного обязательства на демонтаж.</w:t>
      </w:r>
    </w:p>
    <w:p w14:paraId="0DF8B9D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19FD8BC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Способ амортизации ППА по арендным договорам, по которым признается право пользования, — линейный.</w:t>
      </w:r>
    </w:p>
    <w:p w14:paraId="2EE806A5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расчетов с сотрудниками и контрагентами</w:t>
      </w:r>
    </w:p>
    <w:p w14:paraId="1653A80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226113D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01421085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доходов и расходов</w:t>
      </w:r>
    </w:p>
    <w:p w14:paraId="5E807EC1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90.08 "Управленческие расходы" 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Кт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 26);</w:t>
      </w:r>
    </w:p>
    <w:p w14:paraId="028B940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Расходы, связанные с реализацией продукции, работ и услуг (в </w:t>
      </w:r>
      <w:proofErr w:type="spellStart"/>
      <w:r w:rsidRPr="004F745F">
        <w:rPr>
          <w:rFonts w:ascii="Arial Narrow" w:eastAsia="Times New Roman" w:hAnsi="Arial Narrow" w:cs="Times New Roman"/>
          <w:spacing w:val="-2"/>
          <w:sz w:val="26"/>
        </w:rPr>
        <w:t>т.ч</w:t>
      </w:r>
      <w:proofErr w:type="spellEnd"/>
      <w:r w:rsidRPr="004F745F">
        <w:rPr>
          <w:rFonts w:ascii="Arial Narrow" w:eastAsia="Times New Roman" w:hAnsi="Arial Narrow" w:cs="Times New Roman"/>
          <w:spacing w:val="-2"/>
          <w:sz w:val="26"/>
        </w:rPr>
        <w:t>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3FBB5ECF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12310BDD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государственной помощи</w:t>
      </w:r>
    </w:p>
    <w:p w14:paraId="7EA0CD89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Организация принимает бюджетные средства к учету по мере фактического получения средств.</w:t>
      </w:r>
    </w:p>
    <w:p w14:paraId="79FA0012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доходов.</w:t>
      </w:r>
    </w:p>
    <w:p w14:paraId="06E1A3C2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процентов по займам</w:t>
      </w:r>
    </w:p>
    <w:p w14:paraId="19540EA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48C24FCB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Исправление ошибок</w:t>
      </w:r>
    </w:p>
    <w:p w14:paraId="617BEAA6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Существенные ошибки, выявленные в бухучете, исправляются как несущественные ошибки в корреспонденции со счетом 91 «Прочие доходы и расходы» без ретроспективного пересчета показателей.</w:t>
      </w:r>
    </w:p>
    <w:p w14:paraId="69E5BC3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Оценочные значения</w:t>
      </w:r>
    </w:p>
    <w:p w14:paraId="2D7288FC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 5 к учетной политике.</w:t>
      </w:r>
    </w:p>
    <w:p w14:paraId="1DFE00D1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Не применяются нормы положений по бухгалтерскому учету</w:t>
      </w:r>
    </w:p>
    <w:p w14:paraId="3472208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12/2010 "Информация по сегментам";</w:t>
      </w:r>
    </w:p>
    <w:p w14:paraId="1956A347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18/02 "Учет расчетов по налогу на прибыль организаций";</w:t>
      </w:r>
    </w:p>
    <w:p w14:paraId="2BC2922B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2/2008 "Учет договоров строительного подряда";</w:t>
      </w:r>
    </w:p>
    <w:p w14:paraId="626E3803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8/2010 "Оценочные обязательства, условные обязательства и условные активы";</w:t>
      </w:r>
    </w:p>
    <w:p w14:paraId="3967B45D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11/2008 "Информация о связанных сторонах";</w:t>
      </w:r>
    </w:p>
    <w:p w14:paraId="5A7F357E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ПБУ 16/2002 "Информация по прекращаемой деятельности"</w:t>
      </w:r>
    </w:p>
    <w:p w14:paraId="5D33F737" w14:textId="77777777" w:rsidR="004F745F" w:rsidRPr="004F745F" w:rsidRDefault="004F745F" w:rsidP="004F745F">
      <w:pPr>
        <w:numPr>
          <w:ilvl w:val="0"/>
          <w:numId w:val="2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Форма представления бухгалтерской отчетности</w:t>
      </w:r>
    </w:p>
    <w:p w14:paraId="2D9FEE05" w14:textId="77777777" w:rsidR="004F745F" w:rsidRPr="004F745F" w:rsidRDefault="004F745F" w:rsidP="004F745F">
      <w:pPr>
        <w:numPr>
          <w:ilvl w:val="1"/>
          <w:numId w:val="2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6B7B0503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697C4411" w14:textId="77777777" w:rsidR="004F745F" w:rsidRPr="004F745F" w:rsidRDefault="004F745F" w:rsidP="004F745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5F4C234E" w14:textId="77777777" w:rsidR="004F745F" w:rsidRPr="004F745F" w:rsidRDefault="004F745F" w:rsidP="004F745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4F745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C5B00B5" w14:textId="77777777" w:rsidR="007C6421" w:rsidRPr="007C6421" w:rsidRDefault="007C6421" w:rsidP="00317BC6">
      <w:pPr>
        <w:pageBreakBefore/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lastRenderedPageBreak/>
        <w:t>Приложение N 1 Рабочий план счетов</w:t>
      </w:r>
    </w:p>
    <w:p w14:paraId="2A371911" w14:textId="7FBA665B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color w:val="1F497D"/>
          <w:sz w:val="26"/>
          <w:szCs w:val="26"/>
          <w:shd w:val="clear" w:color="auto" w:fill="FFFF00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 xml:space="preserve">Ознакомиться с </w:t>
      </w:r>
      <w:hyperlink r:id="rId9" w:history="1">
        <w:r w:rsidRPr="007C6421">
          <w:rPr>
            <w:rStyle w:val="af9"/>
            <w:rFonts w:ascii="Arial Narrow" w:hAnsi="Arial Narrow"/>
            <w:color w:val="0785CE"/>
            <w:sz w:val="26"/>
            <w:szCs w:val="26"/>
            <w:shd w:val="clear" w:color="auto" w:fill="FFFFFF"/>
          </w:rPr>
          <w:t>рабочим планом счетов</w:t>
        </w:r>
      </w:hyperlink>
    </w:p>
    <w:p w14:paraId="1EC95793" w14:textId="77777777" w:rsidR="007C6421" w:rsidRPr="007C6421" w:rsidRDefault="007C6421" w:rsidP="007C6421">
      <w:pPr>
        <w:spacing w:after="140"/>
        <w:ind w:left="142" w:right="14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2 Первичные учетные документы</w:t>
      </w:r>
    </w:p>
    <w:p w14:paraId="2D31774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2 к Приказу 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учета"</w:t>
      </w:r>
    </w:p>
    <w:p w14:paraId="5DBA70BB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7C6421">
        <w:rPr>
          <w:rFonts w:ascii="Arial Narrow" w:eastAsia="Times New Roman" w:hAnsi="Arial Narrow" w:cs="Times New Roman"/>
          <w:b/>
          <w:sz w:val="24"/>
          <w:szCs w:val="24"/>
        </w:rPr>
        <w:t>Первичные учетные документы</w:t>
      </w:r>
    </w:p>
    <w:p w14:paraId="548392C5" w14:textId="77777777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5DD1ACD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основных</w:t>
      </w:r>
      <w:r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E59E477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399E99B3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ма</w:t>
      </w:r>
      <w:r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147B3428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АО-1, утвержденная П</w:t>
      </w:r>
      <w:r w:rsidRPr="00760674">
        <w:t>остановлением Госкомстата от 01.08.2001 N 55</w:t>
      </w:r>
    </w:p>
    <w:p w14:paraId="558CAAFC" w14:textId="77777777" w:rsidR="007C6421" w:rsidRPr="00760674" w:rsidRDefault="007C6421" w:rsidP="007C6421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</w:t>
      </w:r>
      <w:r>
        <w:t>м</w:t>
      </w:r>
      <w:r w:rsidRPr="00760674">
        <w:t xml:space="preserve"> 4 Постановления Правительства от 21.12.2020 N 2200 (Приложение N</w:t>
      </w:r>
      <w:r>
        <w:t xml:space="preserve"> </w:t>
      </w:r>
      <w:r w:rsidRPr="00760674">
        <w:t>2);</w:t>
      </w:r>
    </w:p>
    <w:p w14:paraId="10887831" w14:textId="77777777" w:rsidR="007C6421" w:rsidRPr="00760674" w:rsidRDefault="007C6421" w:rsidP="007C6421">
      <w:pPr>
        <w:pStyle w:val="12"/>
        <w:ind w:left="1134" w:right="140" w:hanging="425"/>
      </w:pPr>
      <w:r w:rsidRPr="00760674">
        <w:t xml:space="preserve">По учету кассовых </w:t>
      </w:r>
      <w:r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5E779FD4" w14:textId="77777777" w:rsidR="007C6421" w:rsidRDefault="007C6421" w:rsidP="007C6421">
      <w:pPr>
        <w:pStyle w:val="12"/>
        <w:ind w:left="1134" w:right="140" w:hanging="425"/>
      </w:pPr>
      <w:r w:rsidRPr="00760674">
        <w:t>По отгрузке товаров – форма N</w:t>
      </w:r>
      <w:r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2E3B726A" w14:textId="77777777" w:rsidR="007C6421" w:rsidRPr="00760674" w:rsidRDefault="007C6421" w:rsidP="007C6421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>
        <w:t xml:space="preserve">013 N ММВ-20-3/96@ (Приложение </w:t>
      </w:r>
      <w:r>
        <w:rPr>
          <w:lang w:val="en-US"/>
        </w:rPr>
        <w:t>N</w:t>
      </w:r>
      <w:r>
        <w:t xml:space="preserve"> </w:t>
      </w:r>
      <w:r w:rsidRPr="00E64A40">
        <w:t>1 к приказу)</w:t>
      </w:r>
      <w:r>
        <w:t>;</w:t>
      </w:r>
    </w:p>
    <w:p w14:paraId="39A123A6" w14:textId="77777777" w:rsidR="007C6421" w:rsidRPr="00760674" w:rsidRDefault="007C6421" w:rsidP="007C6421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 формы, утвержденные П</w:t>
      </w:r>
      <w:r w:rsidRPr="00760674">
        <w:t>остановлением Госкомстата от 18.08.</w:t>
      </w:r>
      <w:r>
        <w:t>1998 N 88.</w:t>
      </w:r>
    </w:p>
    <w:p w14:paraId="6FA81D4A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F78A1A9" w14:textId="60228C3A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ascii="Arial Narrow" w:eastAsia="Times New Roman" w:hAnsi="Arial Narrow" w:cs="Times New Roman"/>
          <w:sz w:val="26"/>
          <w:szCs w:val="26"/>
        </w:rPr>
        <w:t>и</w:t>
      </w:r>
      <w:r w:rsidRPr="007C6421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3AECBD9E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списания материалов – Акт о списании материалов;</w:t>
      </w:r>
    </w:p>
    <w:p w14:paraId="27333662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выполненных работ или услуг – Акт выполненных работ (оказанных услуг)</w:t>
      </w:r>
      <w:r>
        <w:t>;</w:t>
      </w:r>
    </w:p>
    <w:p w14:paraId="72BA1B39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отражению прочих фактов хозяйственной жизни – Бухгалтерская справка</w:t>
      </w:r>
      <w:r>
        <w:t>.</w:t>
      </w:r>
    </w:p>
    <w:p w14:paraId="032F4527" w14:textId="77777777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477CA25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136CADCA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6C167A87" w14:textId="77777777" w:rsidR="007C6421" w:rsidRPr="007C6421" w:rsidRDefault="007C6421" w:rsidP="00317BC6">
      <w:pPr>
        <w:pageBreakBefore/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lastRenderedPageBreak/>
        <w:t>Приложение N 3. Регистры бухгалтерского учета</w:t>
      </w:r>
    </w:p>
    <w:p w14:paraId="356780E2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3 к Приказу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</w:t>
      </w:r>
      <w:r w:rsidRPr="007C6421">
        <w:rPr>
          <w:rFonts w:ascii="Arial Narrow" w:eastAsia="Times New Roman" w:hAnsi="Arial Narrow" w:cs="Times New Roman"/>
          <w:sz w:val="24"/>
          <w:szCs w:val="24"/>
        </w:rPr>
        <w:t>"</w:t>
      </w:r>
    </w:p>
    <w:p w14:paraId="5EC8310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Регистры бухгалтерского учета</w:t>
      </w:r>
    </w:p>
    <w:p w14:paraId="410E761F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регистры бухгалтерского учета в соответствии с самостоятельно разработанными формами:</w:t>
      </w:r>
    </w:p>
    <w:p w14:paraId="62D65827" w14:textId="77777777" w:rsidR="007C6421" w:rsidRPr="007C6421" w:rsidRDefault="007C6421" w:rsidP="007C6421">
      <w:pPr>
        <w:pStyle w:val="12"/>
        <w:ind w:left="1134" w:right="140" w:hanging="425"/>
      </w:pPr>
      <w:r w:rsidRPr="007C6421">
        <w:t xml:space="preserve">Для формирования сводных данных – </w:t>
      </w:r>
      <w:proofErr w:type="spellStart"/>
      <w:r w:rsidRPr="007C6421">
        <w:t>Оборотно</w:t>
      </w:r>
      <w:proofErr w:type="spellEnd"/>
      <w:r w:rsidRPr="007C6421">
        <w:t>-сальдовая ведомость.</w:t>
      </w:r>
    </w:p>
    <w:p w14:paraId="5400C8A7" w14:textId="77777777" w:rsidR="007C6421" w:rsidRPr="007C6421" w:rsidRDefault="007C6421" w:rsidP="007C6421">
      <w:pPr>
        <w:pStyle w:val="12"/>
        <w:ind w:left="1134" w:right="140" w:hanging="425"/>
      </w:pPr>
      <w:r w:rsidRPr="007C6421">
        <w:t xml:space="preserve">Для формирования развернутых данных по счету учета - </w:t>
      </w:r>
      <w:proofErr w:type="spellStart"/>
      <w:r w:rsidRPr="007C6421">
        <w:t>Оборотно</w:t>
      </w:r>
      <w:proofErr w:type="spellEnd"/>
      <w:r w:rsidRPr="007C6421">
        <w:t>-сальдовая ведомость по счету или Анализ счета.</w:t>
      </w:r>
    </w:p>
    <w:p w14:paraId="3D1E8B8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57DAAFB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7B94409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017DFE4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98FB59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7936419D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31800E96" w14:textId="77777777" w:rsidR="007C6421" w:rsidRPr="007C6421" w:rsidRDefault="007C6421" w:rsidP="007C6421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НУ</w:t>
      </w:r>
    </w:p>
    <w:p w14:paraId="18BC4F5C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0B3D3F1D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47AAE1F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</w:rPr>
      </w:pPr>
    </w:p>
    <w:p w14:paraId="01ABEE45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sz w:val="26"/>
        </w:rPr>
        <w:t>г. Москва</w:t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  <w:t>31 декабря 2021 г.</w:t>
      </w:r>
    </w:p>
    <w:p w14:paraId="3BE07441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b/>
          <w:sz w:val="26"/>
        </w:rPr>
        <w:t>ПРИКАЗЫВАЮ</w:t>
      </w:r>
    </w:p>
    <w:p w14:paraId="2CD8BB62" w14:textId="7CE35DD3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Ввести в действие с 01 января 2022 года следующую учетную политику для целей налогового учета ООО "ТЕХНОМИР" при применении упрощенной системы налогообложения н</w:t>
      </w:r>
      <w:r w:rsidR="00B834B5">
        <w:rPr>
          <w:rFonts w:ascii="Arial Narrow" w:eastAsia="Times New Roman" w:hAnsi="Arial Narrow" w:cs="Times New Roman"/>
          <w:sz w:val="26"/>
          <w:szCs w:val="26"/>
        </w:rPr>
        <w:t>а объекте доходы минус расходы:</w:t>
      </w:r>
    </w:p>
    <w:p w14:paraId="119959F3" w14:textId="77777777" w:rsidR="007C6421" w:rsidRPr="007C6421" w:rsidRDefault="007C6421" w:rsidP="00EE328E">
      <w:pPr>
        <w:numPr>
          <w:ilvl w:val="0"/>
          <w:numId w:val="23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431C6D5C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349C3119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осуществлять по следующим правилам:</w:t>
      </w:r>
    </w:p>
    <w:p w14:paraId="67145B47" w14:textId="77777777" w:rsidR="007C6421" w:rsidRPr="007C6421" w:rsidRDefault="007C6421" w:rsidP="00317BC6">
      <w:pPr>
        <w:pageBreakBefore/>
        <w:numPr>
          <w:ilvl w:val="0"/>
          <w:numId w:val="24"/>
        </w:numPr>
        <w:spacing w:before="0" w:after="200" w:line="276" w:lineRule="auto"/>
        <w:ind w:left="142" w:right="14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Объект налогообложения</w:t>
      </w:r>
    </w:p>
    <w:p w14:paraId="12FEB2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Организация применяет упрощенную систему с объектом налогообложения "доходы минус расходы".</w:t>
      </w:r>
    </w:p>
    <w:p w14:paraId="501D12B2" w14:textId="77777777" w:rsidR="007C6421" w:rsidRPr="007C6421" w:rsidRDefault="007C6421" w:rsidP="00EE328E">
      <w:pPr>
        <w:numPr>
          <w:ilvl w:val="0"/>
          <w:numId w:val="24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расходов при определении налогооблагаемой базы</w:t>
      </w:r>
    </w:p>
    <w:p w14:paraId="06631C6C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произведена.</w:t>
      </w:r>
    </w:p>
    <w:p w14:paraId="234601F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по приобретению товаров 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товаров.</w:t>
      </w:r>
    </w:p>
    <w:p w14:paraId="4FC683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14:paraId="0DBA265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14:paraId="395E72AF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14:paraId="7762868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19D0CD68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приобретение (сооружение, изготовление) основных средств включатся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14:paraId="7A64BDC2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14:paraId="05D0B76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Calibri" w:hAnsi="Arial Narrow" w:cs="Times New Roman"/>
          <w:spacing w:val="-2"/>
          <w:sz w:val="26"/>
          <w:szCs w:val="26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14:paraId="3318FB68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</w:p>
    <w:p w14:paraId="04C93621" w14:textId="765265DE" w:rsidR="007C6421" w:rsidRPr="007C6421" w:rsidRDefault="007C6421" w:rsidP="00317BC6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Генеральный директор </w:t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  <w:t>/</w:t>
      </w:r>
    </w:p>
    <w:p w14:paraId="6AE1EF87" w14:textId="77777777" w:rsidR="00C9305E" w:rsidRPr="003523BB" w:rsidRDefault="00C9305E" w:rsidP="007C6421">
      <w:pPr>
        <w:ind w:left="142" w:right="140" w:firstLine="0"/>
      </w:pPr>
    </w:p>
    <w:sectPr w:rsidR="00C9305E" w:rsidRPr="003523BB" w:rsidSect="00A8678E">
      <w:headerReference w:type="default" r:id="rId10"/>
      <w:footerReference w:type="default" r:id="rId11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2D75" w14:textId="77777777" w:rsidR="008F7691" w:rsidRDefault="008F7691" w:rsidP="00F1648E">
      <w:pPr>
        <w:spacing w:before="0" w:after="0"/>
      </w:pPr>
      <w:r>
        <w:separator/>
      </w:r>
    </w:p>
  </w:endnote>
  <w:endnote w:type="continuationSeparator" w:id="0">
    <w:p w14:paraId="4F123C39" w14:textId="77777777" w:rsidR="008F7691" w:rsidRDefault="008F7691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86D418A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1818" w14:textId="77777777" w:rsidR="008F7691" w:rsidRDefault="008F7691" w:rsidP="00F1648E">
      <w:pPr>
        <w:spacing w:before="0" w:after="0"/>
      </w:pPr>
      <w:r>
        <w:separator/>
      </w:r>
    </w:p>
  </w:footnote>
  <w:footnote w:type="continuationSeparator" w:id="0">
    <w:p w14:paraId="5EA2B05D" w14:textId="77777777" w:rsidR="008F7691" w:rsidRDefault="008F7691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7C6421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62" w:type="dxa"/>
          <w:vAlign w:val="center"/>
        </w:tcPr>
        <w:p w14:paraId="5718C534" w14:textId="3704B327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720936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4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msoAB56"/>
      </v:shape>
    </w:pict>
  </w:numPicBullet>
  <w:abstractNum w:abstractNumId="0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1" w15:restartNumberingAfterBreak="0">
    <w:nsid w:val="02CF6017"/>
    <w:multiLevelType w:val="hybridMultilevel"/>
    <w:tmpl w:val="5D54C5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5D32BED"/>
    <w:multiLevelType w:val="hybridMultilevel"/>
    <w:tmpl w:val="BCD84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C73"/>
    <w:multiLevelType w:val="hybridMultilevel"/>
    <w:tmpl w:val="7E5ACE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DD00393"/>
    <w:multiLevelType w:val="hybridMultilevel"/>
    <w:tmpl w:val="8C8A2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844B39"/>
    <w:multiLevelType w:val="hybridMultilevel"/>
    <w:tmpl w:val="C80E62E4"/>
    <w:lvl w:ilvl="0" w:tplc="260C0F7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4692C"/>
    <w:multiLevelType w:val="hybridMultilevel"/>
    <w:tmpl w:val="3828D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5DE0"/>
    <w:multiLevelType w:val="hybridMultilevel"/>
    <w:tmpl w:val="480C48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9"/>
  </w:num>
  <w:num w:numId="5">
    <w:abstractNumId w:val="12"/>
  </w:num>
  <w:num w:numId="6">
    <w:abstractNumId w:val="18"/>
  </w:num>
  <w:num w:numId="7">
    <w:abstractNumId w:val="9"/>
  </w:num>
  <w:num w:numId="8">
    <w:abstractNumId w:val="20"/>
  </w:num>
  <w:num w:numId="9">
    <w:abstractNumId w:val="23"/>
  </w:num>
  <w:num w:numId="10">
    <w:abstractNumId w:val="7"/>
  </w:num>
  <w:num w:numId="11">
    <w:abstractNumId w:val="0"/>
  </w:num>
  <w:num w:numId="12">
    <w:abstractNumId w:val="28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4"/>
  </w:num>
  <w:num w:numId="20">
    <w:abstractNumId w:val="17"/>
  </w:num>
  <w:num w:numId="21">
    <w:abstractNumId w:val="27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2"/>
  </w:num>
  <w:num w:numId="28">
    <w:abstractNumId w:val="24"/>
  </w:num>
  <w:num w:numId="29">
    <w:abstractNumId w:val="1"/>
  </w:num>
  <w:num w:numId="30">
    <w:abstractNumId w:val="6"/>
  </w:num>
  <w:num w:numId="31">
    <w:abstractNumId w:val="21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87C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7A29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4F92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17BC6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4F1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4A4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7071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4F745F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0936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6421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1009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8F7691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34B5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3D33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45816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428E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328E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19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6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7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18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uhexpert8.ru/plan-schet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00BF82-3A51-4530-B089-6255485E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11</cp:revision>
  <cp:lastPrinted>2022-12-28T07:05:00Z</cp:lastPrinted>
  <dcterms:created xsi:type="dcterms:W3CDTF">2022-02-15T10:25:00Z</dcterms:created>
  <dcterms:modified xsi:type="dcterms:W3CDTF">2022-12-28T08:02:00Z</dcterms:modified>
</cp:coreProperties>
</file>