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FCC9" w14:textId="77777777" w:rsidR="003B358A" w:rsidRPr="00B73A69" w:rsidRDefault="003B358A" w:rsidP="003B358A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</w:p>
    <w:p w14:paraId="1BB68C0F" w14:textId="77777777" w:rsidR="003B358A" w:rsidRDefault="003B358A" w:rsidP="003B358A">
      <w:pPr>
        <w:pStyle w:val="a5"/>
        <w:ind w:right="140"/>
      </w:pPr>
    </w:p>
    <w:p w14:paraId="37EBAC13" w14:textId="3DF73C4E" w:rsidR="003B358A" w:rsidRDefault="003B358A" w:rsidP="003B358A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>Организация не относится к субъектам</w:t>
      </w:r>
      <w:r w:rsidRPr="00760674">
        <w:t xml:space="preserve"> малого предпринимательства и </w:t>
      </w:r>
      <w:r>
        <w:t xml:space="preserve">не </w:t>
      </w:r>
      <w:r w:rsidRPr="00760674">
        <w:t>имеет право на ведение упрощенных способов учета и составление отчетности по упрощенной форме.</w:t>
      </w:r>
    </w:p>
    <w:p w14:paraId="50D15AD2" w14:textId="77777777" w:rsidR="003B358A" w:rsidRPr="00760674" w:rsidRDefault="003B358A" w:rsidP="003B358A">
      <w:pPr>
        <w:pStyle w:val="a5"/>
        <w:ind w:right="140"/>
      </w:pPr>
    </w:p>
    <w:p w14:paraId="67351A82" w14:textId="7A0E78CF" w:rsidR="003B358A" w:rsidRDefault="003B358A" w:rsidP="003B358A">
      <w:pPr>
        <w:pStyle w:val="23"/>
        <w:ind w:right="140"/>
      </w:pPr>
      <w:r w:rsidRPr="00760674">
        <w:t>Учетная политика по БУ</w:t>
      </w:r>
    </w:p>
    <w:p w14:paraId="00B915E9" w14:textId="77777777" w:rsidR="00F7240A" w:rsidRPr="00760674" w:rsidRDefault="00F7240A" w:rsidP="00F7240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578A34EE" w14:textId="77777777" w:rsidR="00F7240A" w:rsidRPr="00760674" w:rsidRDefault="00F7240A" w:rsidP="00F7240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6C1D6B85" w14:textId="7777777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proofErr w:type="spellStart"/>
      <w:r w:rsidRPr="00760674">
        <w:rPr>
          <w:rFonts w:eastAsia="Times New Roman" w:cs="Times New Roman"/>
          <w:szCs w:val="26"/>
        </w:rPr>
        <w:t>г.Москва</w:t>
      </w:r>
      <w:proofErr w:type="spellEnd"/>
      <w:r w:rsidRPr="00760674">
        <w:rPr>
          <w:rFonts w:eastAsia="Times New Roman" w:cs="Times New Roman"/>
          <w:szCs w:val="26"/>
        </w:rPr>
        <w:t xml:space="preserve">  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>31 декабря 202</w:t>
      </w:r>
      <w:r>
        <w:rPr>
          <w:rFonts w:eastAsia="Times New Roman" w:cs="Times New Roman"/>
          <w:szCs w:val="26"/>
        </w:rPr>
        <w:t xml:space="preserve">1 </w:t>
      </w:r>
      <w:r w:rsidRPr="00760674">
        <w:rPr>
          <w:rFonts w:eastAsia="Times New Roman" w:cs="Times New Roman"/>
          <w:szCs w:val="26"/>
        </w:rPr>
        <w:t>г.</w:t>
      </w:r>
    </w:p>
    <w:p w14:paraId="3FB2C98C" w14:textId="7777777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48EADFFE" w14:textId="77777777" w:rsidR="00F7240A" w:rsidRPr="00760674" w:rsidRDefault="00F7240A" w:rsidP="00F7240A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>
        <w:rPr>
          <w:rFonts w:eastAsia="Times New Roman" w:cs="Times New Roman"/>
          <w:szCs w:val="26"/>
        </w:rPr>
        <w:t>2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59FEED5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139A603C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246AA535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2A5099B4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712551C0" w14:textId="77777777" w:rsidR="00F7240A" w:rsidRPr="00760674" w:rsidRDefault="00F7240A" w:rsidP="00F7240A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BE17E7" w14:textId="77777777" w:rsidR="00F7240A" w:rsidRPr="00760674" w:rsidRDefault="00F7240A" w:rsidP="00F7240A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7AA7DB25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148F1FAB" w14:textId="77777777" w:rsidR="00F7240A" w:rsidRPr="008D75C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D75CA">
        <w:rPr>
          <w:rFonts w:eastAsia="Times New Roman" w:cs="Times New Roman"/>
          <w:szCs w:val="26"/>
        </w:rPr>
        <w:t>Отражение последствий изменения учетной политики в связи с переходом на ФСБУ 6/2020 "Основные средства" осуществляется ретроспективно в упрощенном порядке.</w:t>
      </w:r>
    </w:p>
    <w:p w14:paraId="51BE9519" w14:textId="77777777" w:rsidR="00F7240A" w:rsidRPr="00FB3E01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8D75CA">
        <w:rPr>
          <w:szCs w:val="26"/>
        </w:rPr>
        <w:lastRenderedPageBreak/>
        <w:t>При этом руководствуясь исключительно требованием рациональности согласно п.</w:t>
      </w:r>
      <w:r w:rsidRPr="00FB3E01">
        <w:rPr>
          <w:szCs w:val="26"/>
        </w:rPr>
        <w:t xml:space="preserve"> </w:t>
      </w:r>
      <w:r w:rsidRPr="008D75CA">
        <w:rPr>
          <w:szCs w:val="26"/>
        </w:rPr>
        <w:t xml:space="preserve">7.4. ПБУ 1/2008 основные средства, стоимостью ниже лимита, указанного </w:t>
      </w:r>
      <w:r w:rsidRPr="00FB3E01">
        <w:rPr>
          <w:szCs w:val="26"/>
        </w:rPr>
        <w:t xml:space="preserve">в п. </w:t>
      </w:r>
      <w:r>
        <w:rPr>
          <w:szCs w:val="26"/>
        </w:rPr>
        <w:t>1.3</w:t>
      </w:r>
      <w:r w:rsidRPr="008D75CA">
        <w:rPr>
          <w:szCs w:val="26"/>
        </w:rPr>
        <w:t>, не подлежат списанию с бухгалтерского учета на дату перехода, а продолжают учитываться в качестве ОС и амортизироваться, если данные объекты являются амортизируемым имуществом в налоговом учете.</w:t>
      </w:r>
    </w:p>
    <w:p w14:paraId="176ABFD8" w14:textId="77777777" w:rsidR="00F7240A" w:rsidRPr="000C31F8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>
        <w:t>Отражение последствий изменения учетной политики в связи с переходом на ФСБУ 26/2020 "Капитальные вложения" осуществляется перспективно.</w:t>
      </w:r>
    </w:p>
    <w:p w14:paraId="754E7A30" w14:textId="77777777" w:rsidR="00F7240A" w:rsidRPr="00FB3E01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5EB27088" w14:textId="77777777" w:rsidR="00F7240A" w:rsidRPr="00FB3E01" w:rsidRDefault="00F7240A" w:rsidP="00F7240A">
      <w:pPr>
        <w:pStyle w:val="12"/>
        <w:ind w:left="1134" w:hanging="283"/>
      </w:pPr>
      <w:r w:rsidRPr="00FB3E01">
        <w:t>ОС стоимостью за единицу до 100 000 руб.;</w:t>
      </w:r>
    </w:p>
    <w:p w14:paraId="7E93FD39" w14:textId="77777777" w:rsidR="00F7240A" w:rsidRPr="00FB3E01" w:rsidRDefault="00F7240A" w:rsidP="00F7240A">
      <w:pPr>
        <w:pStyle w:val="12"/>
        <w:ind w:left="1134" w:hanging="283"/>
      </w:pPr>
      <w:r w:rsidRPr="00FB3E01">
        <w:t>затраты на ремонт и техническое обслуживание ОС периодичностью более 12 месяцев стоимостью до 100 000 руб.;</w:t>
      </w:r>
    </w:p>
    <w:p w14:paraId="0E668286" w14:textId="77777777" w:rsidR="00F7240A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0DAA0A40" w14:textId="77777777" w:rsidR="00F7240A" w:rsidRPr="00C0592C" w:rsidRDefault="00F7240A" w:rsidP="00F7240A">
      <w:pPr>
        <w:spacing w:before="0" w:after="200" w:line="276" w:lineRule="auto"/>
        <w:ind w:left="567" w:firstLine="0"/>
        <w:rPr>
          <w:szCs w:val="26"/>
        </w:rPr>
      </w:pPr>
      <w:r>
        <w:t>Стоимостной лимит не применяется для объектов недвижимости и для производственного оборудования. Данные ОС считаются существенными для бухгалтерской отчетности, к ним применяются положения ФСБУ 6 вне зависимости от их стоимости.</w:t>
      </w:r>
    </w:p>
    <w:p w14:paraId="4F57FC3C" w14:textId="77777777" w:rsidR="00F7240A" w:rsidRPr="00C0592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C0592C">
        <w:rPr>
          <w:rFonts w:eastAsia="Times New Roman" w:cs="Times New Roman"/>
          <w:szCs w:val="26"/>
        </w:rPr>
        <w:t>субсчетам</w:t>
      </w:r>
      <w:proofErr w:type="spellEnd"/>
      <w:r w:rsidRPr="00C0592C">
        <w:rPr>
          <w:rFonts w:eastAsia="Times New Roman" w:cs="Times New Roman"/>
          <w:szCs w:val="26"/>
        </w:rPr>
        <w:t>:</w:t>
      </w:r>
    </w:p>
    <w:p w14:paraId="7D747278" w14:textId="77777777" w:rsidR="00F7240A" w:rsidRPr="00C0592C" w:rsidRDefault="00F7240A" w:rsidP="00F7240A">
      <w:pPr>
        <w:pStyle w:val="12"/>
        <w:ind w:left="1134" w:hanging="283"/>
      </w:pPr>
      <w:r w:rsidRPr="00C0592C">
        <w:t>10.21.1 "Приобретение малоценного оборудования и запасов";</w:t>
      </w:r>
    </w:p>
    <w:p w14:paraId="77585C47" w14:textId="77777777" w:rsidR="00F7240A" w:rsidRPr="00C0592C" w:rsidRDefault="00F7240A" w:rsidP="00F7240A">
      <w:pPr>
        <w:pStyle w:val="12"/>
        <w:ind w:left="1134" w:hanging="283"/>
      </w:pPr>
      <w:r w:rsidRPr="00C0592C">
        <w:t>10.21.2 "Выбытие малоценного оборудования и запасов".</w:t>
      </w:r>
    </w:p>
    <w:p w14:paraId="13D90535" w14:textId="77777777" w:rsidR="00F7240A" w:rsidRPr="00C0592C" w:rsidRDefault="00F7240A" w:rsidP="00F7240A">
      <w:pPr>
        <w:pStyle w:val="a5"/>
        <w:ind w:firstLine="567"/>
      </w:pPr>
      <w:r w:rsidRPr="00C0592C">
        <w:t>В момент приобретения (создания) активов:</w:t>
      </w:r>
    </w:p>
    <w:p w14:paraId="07A98E03" w14:textId="77777777" w:rsidR="00F7240A" w:rsidRPr="00C0592C" w:rsidRDefault="00F7240A" w:rsidP="00F7240A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10.21.1 </w:t>
      </w:r>
      <w:proofErr w:type="spellStart"/>
      <w:r w:rsidRPr="00C0592C">
        <w:t>Кт</w:t>
      </w:r>
      <w:proofErr w:type="spellEnd"/>
      <w:r w:rsidRPr="00C0592C">
        <w:t xml:space="preserve"> 60 - оприходование активов;</w:t>
      </w:r>
    </w:p>
    <w:p w14:paraId="0EB9AEB5" w14:textId="77777777" w:rsidR="00F7240A" w:rsidRPr="00C0592C" w:rsidRDefault="00F7240A" w:rsidP="00F7240A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счета расходов </w:t>
      </w:r>
      <w:proofErr w:type="spellStart"/>
      <w:r w:rsidRPr="00C0592C">
        <w:t>Кт</w:t>
      </w:r>
      <w:proofErr w:type="spellEnd"/>
      <w:r w:rsidRPr="00C0592C">
        <w:t xml:space="preserve"> 10.21.2 – признание в расходах стоимости активов;</w:t>
      </w:r>
    </w:p>
    <w:p w14:paraId="04701047" w14:textId="77777777" w:rsidR="00F7240A" w:rsidRPr="00C0592C" w:rsidRDefault="00F7240A" w:rsidP="00F7240A">
      <w:pPr>
        <w:pStyle w:val="12"/>
        <w:numPr>
          <w:ilvl w:val="0"/>
          <w:numId w:val="0"/>
        </w:numPr>
        <w:ind w:left="1134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5A2D21F3" w14:textId="77777777" w:rsidR="00F7240A" w:rsidRPr="00C0592C" w:rsidRDefault="00F7240A" w:rsidP="00F7240A">
      <w:pPr>
        <w:pStyle w:val="a5"/>
        <w:ind w:firstLine="851"/>
      </w:pPr>
      <w:r w:rsidRPr="00C0592C">
        <w:t>В момент передачи в эксплуатацию несущественных активов:</w:t>
      </w:r>
    </w:p>
    <w:p w14:paraId="107C3CEC" w14:textId="77777777" w:rsidR="00F7240A" w:rsidRPr="00C0592C" w:rsidRDefault="00F7240A" w:rsidP="00F7240A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10.21.2 </w:t>
      </w:r>
      <w:proofErr w:type="spellStart"/>
      <w:r w:rsidRPr="00C0592C">
        <w:t>Кт</w:t>
      </w:r>
      <w:proofErr w:type="spellEnd"/>
      <w:r w:rsidRPr="00C0592C">
        <w:t xml:space="preserve"> 10.21.1 – передача в эксплуатацию активов;</w:t>
      </w:r>
    </w:p>
    <w:p w14:paraId="0939F4D1" w14:textId="77777777" w:rsidR="00F7240A" w:rsidRPr="00C0592C" w:rsidRDefault="00F7240A" w:rsidP="00F7240A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МЦ.ХХХ – оприходование за балансом активов.</w:t>
      </w:r>
    </w:p>
    <w:p w14:paraId="0F71A98E" w14:textId="77777777" w:rsidR="00F7240A" w:rsidRPr="00C0592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168265D6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>ие затраты при осуществлении капитальных вложений определяются в общем порядке с учетом</w:t>
      </w:r>
      <w:r w:rsidRPr="002551DC">
        <w:rPr>
          <w:rFonts w:eastAsia="Times New Roman" w:cs="Times New Roman"/>
          <w:spacing w:val="-2"/>
        </w:rPr>
        <w:t xml:space="preserve"> скидок, дисконтирования в связи с отсрочкой платежа более 12 месяцев, обязательств по демонтажу</w:t>
      </w:r>
      <w:r>
        <w:rPr>
          <w:rFonts w:eastAsia="Times New Roman" w:cs="Times New Roman"/>
          <w:spacing w:val="-2"/>
        </w:rPr>
        <w:t xml:space="preserve">, </w:t>
      </w:r>
      <w:r>
        <w:rPr>
          <w:szCs w:val="26"/>
        </w:rPr>
        <w:t>утилизации и восстановлению окружающей среды</w:t>
      </w:r>
      <w:r w:rsidRPr="002551DC">
        <w:rPr>
          <w:rFonts w:eastAsia="Times New Roman" w:cs="Times New Roman"/>
          <w:spacing w:val="-2"/>
        </w:rPr>
        <w:t>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proofErr w:type="spellStart"/>
      <w:r w:rsidRPr="00760674">
        <w:rPr>
          <w:rFonts w:eastAsia="Times New Roman" w:cs="Times New Roman"/>
          <w:spacing w:val="-2"/>
        </w:rPr>
        <w:t>неденежными</w:t>
      </w:r>
      <w:proofErr w:type="spellEnd"/>
      <w:r w:rsidRPr="00760674">
        <w:rPr>
          <w:rFonts w:eastAsia="Times New Roman" w:cs="Times New Roman"/>
          <w:spacing w:val="-2"/>
        </w:rPr>
        <w:t xml:space="preserve"> средствами </w:t>
      </w:r>
      <w:r>
        <w:rPr>
          <w:rFonts w:eastAsia="Times New Roman" w:cs="Times New Roman"/>
          <w:spacing w:val="-2"/>
        </w:rPr>
        <w:t xml:space="preserve">определяется </w:t>
      </w:r>
      <w:r w:rsidRPr="005B75A5">
        <w:rPr>
          <w:rFonts w:eastAsia="Times New Roman" w:cs="Times New Roman"/>
          <w:spacing w:val="-2"/>
        </w:rPr>
        <w:t xml:space="preserve">по справедливой стоимости передаваемых активов, согласно </w:t>
      </w:r>
      <w:r>
        <w:rPr>
          <w:rFonts w:eastAsia="Times New Roman" w:cs="Times New Roman"/>
          <w:spacing w:val="-2"/>
        </w:rPr>
        <w:t xml:space="preserve">правилам </w:t>
      </w:r>
      <w:r w:rsidRPr="005B75A5">
        <w:rPr>
          <w:rFonts w:eastAsia="Times New Roman" w:cs="Times New Roman"/>
          <w:spacing w:val="-2"/>
        </w:rPr>
        <w:t>МСФО 13 «Оценка справедливой стоимости».</w:t>
      </w:r>
    </w:p>
    <w:p w14:paraId="23896D87" w14:textId="77777777" w:rsidR="00F7240A" w:rsidRPr="000C31F8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6A3BA304" w14:textId="77777777" w:rsidR="00F7240A" w:rsidRPr="00F23BC6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B51C62">
        <w:rPr>
          <w:rFonts w:eastAsia="Times New Roman" w:cs="Times New Roman"/>
          <w:spacing w:val="-2"/>
          <w:szCs w:val="26"/>
        </w:rPr>
        <w:lastRenderedPageBreak/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</w:t>
      </w:r>
      <w:r>
        <w:rPr>
          <w:rFonts w:eastAsia="Times New Roman" w:cs="Times New Roman"/>
          <w:spacing w:val="-2"/>
          <w:szCs w:val="26"/>
        </w:rPr>
        <w:t>.</w:t>
      </w:r>
    </w:p>
    <w:p w14:paraId="0CE9BB87" w14:textId="77777777" w:rsidR="00F7240A" w:rsidRPr="00537A6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zCs w:val="26"/>
        </w:rPr>
        <w:t xml:space="preserve">Ежегодно перед составлением отчетности осуществляется проверка капитальных вложений и основных средств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</w:p>
    <w:p w14:paraId="7DCBF32B" w14:textId="77777777" w:rsidR="00F7240A" w:rsidRPr="00537A6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143CC39E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7A2935C6" w14:textId="77777777" w:rsidR="00F7240A" w:rsidRPr="004E32FC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A00E1AC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2EDE36F6" w14:textId="77777777" w:rsidR="00F7240A" w:rsidRPr="006C2E9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6C2E97">
        <w:rPr>
          <w:rFonts w:eastAsia="Times New Roman" w:cs="Times New Roman"/>
          <w:spacing w:val="-2"/>
          <w:szCs w:val="26"/>
        </w:rPr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показателей.</w:t>
      </w:r>
    </w:p>
    <w:p w14:paraId="1DEF4D0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06B5207" w14:textId="77777777" w:rsidR="00F7240A" w:rsidRPr="00760674" w:rsidRDefault="00F7240A" w:rsidP="00F7240A">
      <w:pPr>
        <w:pStyle w:val="12"/>
        <w:ind w:left="1134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30367E68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359C2789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42A58A40" w14:textId="77777777" w:rsidR="00F7240A" w:rsidRDefault="00F7240A" w:rsidP="00F7240A">
      <w:pPr>
        <w:pStyle w:val="12"/>
        <w:ind w:left="1134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63B58261" w14:textId="77777777" w:rsidR="00F7240A" w:rsidRDefault="00F7240A" w:rsidP="00F7240A">
      <w:pPr>
        <w:pStyle w:val="12"/>
        <w:ind w:left="1134" w:hanging="283"/>
      </w:pPr>
      <w:r w:rsidRPr="00760674">
        <w:t>хозяйственный инвентарь и приспособления</w:t>
      </w:r>
      <w:r>
        <w:t>;</w:t>
      </w:r>
    </w:p>
    <w:p w14:paraId="4557A7DE" w14:textId="77777777" w:rsidR="00F7240A" w:rsidRDefault="00F7240A" w:rsidP="00F7240A">
      <w:pPr>
        <w:pStyle w:val="12"/>
        <w:ind w:left="1134" w:hanging="283"/>
      </w:pPr>
      <w:r w:rsidRPr="00760674">
        <w:t>мебель</w:t>
      </w:r>
      <w:r>
        <w:t>.</w:t>
      </w:r>
    </w:p>
    <w:p w14:paraId="4ECFC750" w14:textId="77777777" w:rsidR="00F7240A" w:rsidRPr="001A3904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.3.</w:t>
      </w:r>
    </w:p>
    <w:p w14:paraId="141E35D6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66040A30" w14:textId="77777777" w:rsidR="00F7240A" w:rsidRDefault="00F7240A" w:rsidP="00F7240A">
      <w:pPr>
        <w:pStyle w:val="12"/>
        <w:ind w:left="1134" w:hanging="283"/>
      </w:pPr>
      <w:r w:rsidRPr="00760674">
        <w:t>офисные канцтовары и принадлежности</w:t>
      </w:r>
      <w:r>
        <w:t>;</w:t>
      </w:r>
    </w:p>
    <w:p w14:paraId="4407BD29" w14:textId="77777777" w:rsidR="00F7240A" w:rsidRPr="00760674" w:rsidRDefault="00F7240A" w:rsidP="00F7240A">
      <w:pPr>
        <w:pStyle w:val="12"/>
        <w:ind w:left="1134" w:hanging="283"/>
      </w:pPr>
      <w:r>
        <w:t>почтовые товары: конверты, бандероли, марки и др.;</w:t>
      </w:r>
    </w:p>
    <w:p w14:paraId="77F0B30B" w14:textId="77777777" w:rsidR="00F7240A" w:rsidRPr="00760674" w:rsidRDefault="00F7240A" w:rsidP="00F7240A">
      <w:pPr>
        <w:pStyle w:val="12"/>
        <w:ind w:left="1134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6811B570" w14:textId="77777777" w:rsidR="00F7240A" w:rsidRPr="00760674" w:rsidRDefault="00F7240A" w:rsidP="00F7240A">
      <w:pPr>
        <w:pStyle w:val="12"/>
        <w:ind w:left="1134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A6A810D" w14:textId="77777777" w:rsidR="00F7240A" w:rsidRPr="001A3904" w:rsidRDefault="00F7240A" w:rsidP="00F7240A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.3.</w:t>
      </w:r>
    </w:p>
    <w:p w14:paraId="32E590C3" w14:textId="77777777" w:rsidR="00F7240A" w:rsidRPr="00AF4B91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AF4B91">
        <w:rPr>
          <w:szCs w:val="26"/>
        </w:rPr>
        <w:t xml:space="preserve">Фактические затраты при </w:t>
      </w:r>
      <w:r>
        <w:rPr>
          <w:szCs w:val="26"/>
        </w:rPr>
        <w:t>приобретении запасов</w:t>
      </w:r>
      <w:r w:rsidRPr="00AF4B91">
        <w:rPr>
          <w:szCs w:val="26"/>
        </w:rPr>
        <w:t xml:space="preserve"> определяются в общем порядке с учетом скидок, дисконтирования в связи с отсрочкой платежа более 12 месяцев, обязательств по демонтажу</w:t>
      </w:r>
      <w:r>
        <w:rPr>
          <w:szCs w:val="26"/>
        </w:rPr>
        <w:t>, утилизации и восстановлению окружающей среды</w:t>
      </w:r>
      <w:r w:rsidRPr="00AF4B91">
        <w:rPr>
          <w:szCs w:val="26"/>
        </w:rPr>
        <w:t xml:space="preserve">. Иные дополнительные </w:t>
      </w:r>
      <w:r>
        <w:rPr>
          <w:szCs w:val="26"/>
        </w:rPr>
        <w:t xml:space="preserve">затраты </w:t>
      </w:r>
      <w:r w:rsidRPr="00AF4B91">
        <w:rPr>
          <w:szCs w:val="26"/>
        </w:rPr>
        <w:t>включаются в фактическ</w:t>
      </w:r>
      <w:r>
        <w:rPr>
          <w:szCs w:val="26"/>
        </w:rPr>
        <w:t>ую себестоимость запасов</w:t>
      </w:r>
      <w:r w:rsidRPr="00AF4B91">
        <w:rPr>
          <w:szCs w:val="26"/>
        </w:rPr>
        <w:t xml:space="preserve">. Фактическая себестоимость </w:t>
      </w:r>
      <w:r>
        <w:rPr>
          <w:szCs w:val="26"/>
        </w:rPr>
        <w:t>запасов</w:t>
      </w:r>
      <w:r w:rsidRPr="00AF4B91">
        <w:rPr>
          <w:szCs w:val="26"/>
        </w:rPr>
        <w:t xml:space="preserve"> при оплате </w:t>
      </w:r>
      <w:proofErr w:type="spellStart"/>
      <w:r w:rsidRPr="00AF4B91">
        <w:rPr>
          <w:szCs w:val="26"/>
        </w:rPr>
        <w:t>неденежными</w:t>
      </w:r>
      <w:proofErr w:type="spellEnd"/>
      <w:r w:rsidRPr="00AF4B91">
        <w:rPr>
          <w:szCs w:val="26"/>
        </w:rPr>
        <w:t xml:space="preserve"> </w:t>
      </w:r>
      <w:r w:rsidRPr="00AF4B91">
        <w:rPr>
          <w:szCs w:val="26"/>
        </w:rPr>
        <w:lastRenderedPageBreak/>
        <w:t>средствами определяется по справедливой стоимости передаваемых активов, согласно правилам МСФО 13 «Оценка справедливой стоимости».</w:t>
      </w:r>
    </w:p>
    <w:p w14:paraId="2BEF55C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17BB1521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7F26584B" w14:textId="77777777" w:rsidR="00F7240A" w:rsidRPr="00760674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Последующая оценка запасов на отчетную дату осуществляется по фактической себестоимости.</w:t>
      </w:r>
    </w:p>
    <w:p w14:paraId="7D16361F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При выбытии запасов их оценка осуществляется по методу средней себестоимости по итогам месяца.</w:t>
      </w:r>
    </w:p>
    <w:p w14:paraId="58272D49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zCs w:val="26"/>
        </w:rPr>
        <w:t xml:space="preserve">Ежегодно перед составлением отчетности осуществляется проверка запасов на обесценение, согласно </w:t>
      </w:r>
      <w:r>
        <w:t>правилам МСФО 36 «Обесценение активов»</w:t>
      </w:r>
      <w:r>
        <w:rPr>
          <w:rFonts w:eastAsia="Times New Roman" w:cs="Times New Roman"/>
          <w:szCs w:val="26"/>
        </w:rPr>
        <w:t>.</w:t>
      </w:r>
      <w:r>
        <w:rPr>
          <w:rFonts w:eastAsia="Times New Roman" w:cs="Times New Roman"/>
          <w:spacing w:val="-2"/>
        </w:rPr>
        <w:t xml:space="preserve"> При наличии признаков обесценения определяется чистая стоимость продаж. Если она меньше фактической себестоимости, то на разницу создается резерв под обесценение запасов. Оценка запасов в балансе отражается за минусом резерва под обесценение.</w:t>
      </w:r>
    </w:p>
    <w:p w14:paraId="72012441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30D8D08B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08C532F3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10404E93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 xml:space="preserve">затраты на оплату труда и иные выплаты производственным рабочим (в </w:t>
      </w:r>
      <w:proofErr w:type="spellStart"/>
      <w:r w:rsidRPr="00BA4513">
        <w:rPr>
          <w:szCs w:val="26"/>
        </w:rPr>
        <w:t>т.ч</w:t>
      </w:r>
      <w:proofErr w:type="spellEnd"/>
      <w:r w:rsidRPr="00BA4513">
        <w:rPr>
          <w:szCs w:val="26"/>
        </w:rPr>
        <w:t>. страховые взносы с зарплаты);</w:t>
      </w:r>
    </w:p>
    <w:p w14:paraId="0E131D05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0E4D0476" w14:textId="77777777" w:rsidR="00F7240A" w:rsidRPr="00BA4513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3BB0ECD2" w14:textId="77777777" w:rsidR="00F7240A" w:rsidRPr="00C37200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C37200">
        <w:rPr>
          <w:rFonts w:eastAsia="Times New Roman" w:cs="Times New Roman"/>
          <w:spacing w:val="-2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0D7A18D9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2017E72B" w14:textId="77777777" w:rsidR="00F7240A" w:rsidRPr="00BA451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BA4513">
        <w:rPr>
          <w:rFonts w:eastAsia="Times New Roman" w:cs="Times New Roman"/>
          <w:spacing w:val="-2"/>
        </w:rPr>
        <w:t>Дт</w:t>
      </w:r>
      <w:proofErr w:type="spellEnd"/>
      <w:r w:rsidRPr="00BA4513">
        <w:rPr>
          <w:rFonts w:eastAsia="Times New Roman" w:cs="Times New Roman"/>
          <w:spacing w:val="-2"/>
        </w:rPr>
        <w:t xml:space="preserve"> 20 "Основное производство" </w:t>
      </w:r>
      <w:proofErr w:type="spellStart"/>
      <w:r w:rsidRPr="00BA4513">
        <w:rPr>
          <w:rFonts w:eastAsia="Times New Roman" w:cs="Times New Roman"/>
          <w:spacing w:val="-2"/>
        </w:rPr>
        <w:t>Кт</w:t>
      </w:r>
      <w:proofErr w:type="spellEnd"/>
      <w:r w:rsidRPr="00BA4513">
        <w:rPr>
          <w:rFonts w:eastAsia="Times New Roman" w:cs="Times New Roman"/>
          <w:spacing w:val="-2"/>
        </w:rPr>
        <w:t xml:space="preserve">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500C2826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</w:t>
      </w:r>
      <w:proofErr w:type="spellStart"/>
      <w:r w:rsidRPr="00912032">
        <w:rPr>
          <w:rFonts w:eastAsia="Times New Roman" w:cs="Times New Roman"/>
          <w:spacing w:val="-2"/>
        </w:rPr>
        <w:t>Дт</w:t>
      </w:r>
      <w:proofErr w:type="spellEnd"/>
      <w:r w:rsidRPr="00912032">
        <w:rPr>
          <w:rFonts w:eastAsia="Times New Roman" w:cs="Times New Roman"/>
          <w:spacing w:val="-2"/>
        </w:rPr>
        <w:t xml:space="preserve"> 20 (25). Они признаются:</w:t>
      </w:r>
    </w:p>
    <w:p w14:paraId="7D6D173D" w14:textId="77777777" w:rsidR="00F7240A" w:rsidRPr="00760674" w:rsidRDefault="00F7240A" w:rsidP="00F7240A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760674">
        <w:rPr>
          <w:szCs w:val="26"/>
        </w:rPr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>не включаются в себестоимость НЗП, ГП</w:t>
      </w:r>
      <w:r w:rsidRPr="00760674">
        <w:rPr>
          <w:szCs w:val="26"/>
        </w:rPr>
        <w:t xml:space="preserve"> - Дт90.02 </w:t>
      </w:r>
      <w:proofErr w:type="spellStart"/>
      <w:r w:rsidRPr="00760674">
        <w:rPr>
          <w:szCs w:val="26"/>
        </w:rPr>
        <w:t>Кт</w:t>
      </w:r>
      <w:proofErr w:type="spellEnd"/>
      <w:r w:rsidRPr="00760674">
        <w:rPr>
          <w:szCs w:val="26"/>
        </w:rPr>
        <w:t xml:space="preserve"> 20.01, 25</w:t>
      </w:r>
      <w:r>
        <w:rPr>
          <w:szCs w:val="26"/>
        </w:rPr>
        <w:t>;</w:t>
      </w:r>
    </w:p>
    <w:p w14:paraId="5D216C67" w14:textId="77777777" w:rsidR="00F7240A" w:rsidRPr="00760674" w:rsidRDefault="00F7240A" w:rsidP="00F7240A">
      <w:pPr>
        <w:pStyle w:val="12"/>
        <w:ind w:left="1134" w:hanging="283"/>
      </w:pPr>
      <w:r w:rsidRPr="00760674">
        <w:lastRenderedPageBreak/>
        <w:t xml:space="preserve">включаются в себестоимость НЗП и ГП, если потери обусловлены технологическим процессом Дт20.01 </w:t>
      </w:r>
      <w:proofErr w:type="spellStart"/>
      <w:r w:rsidRPr="00760674">
        <w:t>Кт</w:t>
      </w:r>
      <w:proofErr w:type="spellEnd"/>
      <w:r w:rsidRPr="00760674">
        <w:t xml:space="preserve"> 20.01, 25, 28</w:t>
      </w:r>
      <w:r>
        <w:t>.</w:t>
      </w:r>
    </w:p>
    <w:p w14:paraId="6648A553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(в отчетности) оценка осуществляется по фактической себестоимости (по сумме фактических прямых и косвенных затрат)</w:t>
      </w:r>
      <w:r>
        <w:rPr>
          <w:rFonts w:eastAsia="Times New Roman" w:cs="Times New Roman"/>
          <w:spacing w:val="-2"/>
        </w:rPr>
        <w:t>;</w:t>
      </w:r>
    </w:p>
    <w:p w14:paraId="0BFB4F4D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>
        <w:rPr>
          <w:rFonts w:eastAsia="Times New Roman" w:cs="Times New Roman"/>
          <w:spacing w:val="-2"/>
        </w:rPr>
        <w:t>;</w:t>
      </w:r>
    </w:p>
    <w:p w14:paraId="431DF0E6" w14:textId="77777777" w:rsidR="00F7240A" w:rsidRPr="0091203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6EAF7CAC" w14:textId="77777777" w:rsidR="00F7240A" w:rsidRPr="00B54B54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B54B54">
        <w:rPr>
          <w:rFonts w:eastAsia="Times New Roman" w:cs="Times New Roman"/>
          <w:b/>
        </w:rPr>
        <w:t>Учет объектов аренды</w:t>
      </w:r>
    </w:p>
    <w:p w14:paraId="5D4EB982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Отражение последствий изменения учетной политики в связи с переходом на ФСБУ 25/2018 осуществляется ретроспективно.</w:t>
      </w:r>
    </w:p>
    <w:p w14:paraId="302FA724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По договорам, истекающим до 31 декабря 2022 года ФСБУ 25/2018 не применяется.</w:t>
      </w:r>
    </w:p>
    <w:p w14:paraId="2F2BCDAC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3E7DFECD" w14:textId="77777777" w:rsidR="00F7240A" w:rsidRPr="004F4BE7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Право пользования активом не признается в отношении предметов аренды по договорам:</w:t>
      </w:r>
    </w:p>
    <w:p w14:paraId="02A4C49C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сроком аренды не более 12 месяцев;</w:t>
      </w:r>
    </w:p>
    <w:p w14:paraId="061748C0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со стоимостью предмета аренды не более 300 тыс. руб.</w:t>
      </w:r>
    </w:p>
    <w:p w14:paraId="464EAA72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Проценты на обязательство по аренде начисляются раз в месяц исходя из ежедневного расчета процента дисконтирования.</w:t>
      </w:r>
    </w:p>
    <w:p w14:paraId="52EDA6D4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Способ амортизации ППА — линейный.</w:t>
      </w:r>
    </w:p>
    <w:p w14:paraId="0225F241" w14:textId="77777777" w:rsidR="00F7240A" w:rsidRPr="004F4BE7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Для определения срока договора аренды (СПИ права пользования активом) анализируются следующие факторы:</w:t>
      </w:r>
    </w:p>
    <w:p w14:paraId="04CB55EC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срок, указанный в договоре;</w:t>
      </w:r>
    </w:p>
    <w:p w14:paraId="07ABFBF5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продления и выхода из договора;</w:t>
      </w:r>
    </w:p>
    <w:p w14:paraId="6BED9978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повышения (сохранения) стоимости арендных платежей;</w:t>
      </w:r>
    </w:p>
    <w:p w14:paraId="15257960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уровень цен на аренду в районе расположения предмета аренды и по городу;</w:t>
      </w:r>
    </w:p>
    <w:p w14:paraId="59AE104B" w14:textId="77777777" w:rsidR="00F7240A" w:rsidRPr="006256CD" w:rsidRDefault="00F7240A" w:rsidP="00F7240A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иные факторы, стимулирующие продление договора аренды.</w:t>
      </w:r>
    </w:p>
    <w:p w14:paraId="05B404D6" w14:textId="77777777" w:rsidR="00F7240A" w:rsidRPr="00536C93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536C93">
        <w:rPr>
          <w:rFonts w:eastAsia="Times New Roman" w:cs="Times New Roman"/>
          <w:b/>
        </w:rPr>
        <w:t>Учет расчетов с сотрудниками и контрагентами</w:t>
      </w:r>
    </w:p>
    <w:p w14:paraId="662A3552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7C4C71BD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1BB44F88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lastRenderedPageBreak/>
        <w:t>Учет доходов и расходов</w:t>
      </w:r>
    </w:p>
    <w:p w14:paraId="6F5BCF39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561C12">
        <w:rPr>
          <w:rFonts w:eastAsia="Times New Roman" w:cs="Times New Roman"/>
          <w:spacing w:val="-2"/>
        </w:rPr>
        <w:t>Дт</w:t>
      </w:r>
      <w:proofErr w:type="spellEnd"/>
      <w:r w:rsidRPr="00561C12">
        <w:rPr>
          <w:rFonts w:eastAsia="Times New Roman" w:cs="Times New Roman"/>
          <w:spacing w:val="-2"/>
        </w:rPr>
        <w:t xml:space="preserve"> 90.08 "Управленческие расходы" </w:t>
      </w:r>
      <w:proofErr w:type="spellStart"/>
      <w:r w:rsidRPr="00561C12">
        <w:rPr>
          <w:rFonts w:eastAsia="Times New Roman" w:cs="Times New Roman"/>
          <w:spacing w:val="-2"/>
        </w:rPr>
        <w:t>Кт</w:t>
      </w:r>
      <w:proofErr w:type="spellEnd"/>
      <w:r w:rsidRPr="00561C12">
        <w:rPr>
          <w:rFonts w:eastAsia="Times New Roman" w:cs="Times New Roman"/>
          <w:spacing w:val="-2"/>
        </w:rPr>
        <w:t xml:space="preserve"> 26);</w:t>
      </w:r>
    </w:p>
    <w:p w14:paraId="3029AE1A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</w:t>
      </w:r>
      <w:proofErr w:type="spellStart"/>
      <w:r w:rsidRPr="00561C12">
        <w:rPr>
          <w:rFonts w:eastAsia="Times New Roman" w:cs="Times New Roman"/>
          <w:spacing w:val="-2"/>
        </w:rPr>
        <w:t>т.ч</w:t>
      </w:r>
      <w:proofErr w:type="spellEnd"/>
      <w:r w:rsidRPr="00561C12">
        <w:rPr>
          <w:rFonts w:eastAsia="Times New Roman" w:cs="Times New Roman"/>
          <w:spacing w:val="-2"/>
        </w:rPr>
        <w:t>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4A08E09B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519D66E2" w14:textId="77777777" w:rsidR="00F7240A" w:rsidRPr="00E31BFA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1E80DE5F" w14:textId="77777777" w:rsidR="00F7240A" w:rsidRPr="005406A3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50DF9610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2C8CBC74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2E268369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65450E">
        <w:rPr>
          <w:rFonts w:eastAsia="Times New Roman" w:cs="Times New Roman"/>
          <w:spacing w:val="-2"/>
        </w:rPr>
        <w:t>Проценты по заемным средствам включаются в состав прочих расходов. Проценты, связанные с приобретением, сооружением и (или) изготовлением инвестиционного актива</w:t>
      </w:r>
      <w:r>
        <w:rPr>
          <w:rFonts w:eastAsia="Times New Roman" w:cs="Times New Roman"/>
          <w:spacing w:val="-2"/>
        </w:rPr>
        <w:t>,</w:t>
      </w:r>
      <w:r w:rsidRPr="0065450E">
        <w:rPr>
          <w:rFonts w:eastAsia="Times New Roman" w:cs="Times New Roman"/>
          <w:spacing w:val="-2"/>
        </w:rPr>
        <w:t xml:space="preserve"> включаются в сумму капитальных затрат</w:t>
      </w:r>
      <w:r>
        <w:rPr>
          <w:rFonts w:eastAsia="Times New Roman" w:cs="Times New Roman"/>
          <w:spacing w:val="-2"/>
        </w:rPr>
        <w:t xml:space="preserve"> на его приобретение</w:t>
      </w:r>
      <w:r w:rsidRPr="0065450E">
        <w:rPr>
          <w:rFonts w:eastAsia="Times New Roman" w:cs="Times New Roman"/>
          <w:spacing w:val="-2"/>
        </w:rPr>
        <w:t>.</w:t>
      </w:r>
      <w:r w:rsidRPr="00561C12">
        <w:rPr>
          <w:rFonts w:eastAsia="Times New Roman" w:cs="Times New Roman"/>
          <w:spacing w:val="-2"/>
        </w:rPr>
        <w:t>.</w:t>
      </w:r>
    </w:p>
    <w:p w14:paraId="168C21BF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18F7649F" w14:textId="77777777" w:rsidR="00F7240A" w:rsidRPr="00217BE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</w:p>
    <w:p w14:paraId="3F0BFE1C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bookmarkStart w:id="0" w:name="_GoBack"/>
      <w:bookmarkEnd w:id="0"/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4A203B15" w14:textId="77777777" w:rsidR="00F7240A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51877656" w14:textId="77777777" w:rsidR="00F7240A" w:rsidRPr="0010625D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Организация создает оценочное обязательство</w:t>
      </w:r>
      <w:r w:rsidRPr="0010625D">
        <w:rPr>
          <w:rFonts w:eastAsia="Times New Roman" w:cs="Times New Roman"/>
          <w:spacing w:val="-2"/>
        </w:rPr>
        <w:t xml:space="preserve"> по оплате отпусков нормативным методом в размере 10% от годового размера ФОТ. Предельная сумма отчислений в год составляет фактический размер отпускных выплат работникам в прошлом отчетном периоде, округленный до полных тыс. руб. по правилам математики.</w:t>
      </w:r>
    </w:p>
    <w:p w14:paraId="54D395AF" w14:textId="77777777" w:rsidR="00F7240A" w:rsidRPr="000C31F8" w:rsidRDefault="00F7240A" w:rsidP="00F7240A">
      <w:pPr>
        <w:pStyle w:val="a0"/>
        <w:numPr>
          <w:ilvl w:val="0"/>
          <w:numId w:val="43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pacing w:val="-2"/>
        </w:rPr>
      </w:pPr>
      <w:r w:rsidRPr="000C31F8">
        <w:rPr>
          <w:rFonts w:eastAsia="Times New Roman" w:cs="Times New Roman"/>
          <w:b/>
          <w:spacing w:val="-2"/>
        </w:rPr>
        <w:t>Учет расчетов по налогу на прибыль</w:t>
      </w:r>
    </w:p>
    <w:p w14:paraId="54224F9C" w14:textId="77777777" w:rsidR="00F7240A" w:rsidRPr="00DA3EAB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Устанавливается с</w:t>
      </w:r>
      <w:r w:rsidRPr="00DA3EAB">
        <w:rPr>
          <w:rFonts w:eastAsia="Times New Roman" w:cs="Times New Roman"/>
          <w:spacing w:val="-2"/>
        </w:rPr>
        <w:t xml:space="preserve">пособ определения </w:t>
      </w:r>
      <w:r>
        <w:rPr>
          <w:rFonts w:eastAsia="Times New Roman" w:cs="Times New Roman"/>
          <w:spacing w:val="-2"/>
        </w:rPr>
        <w:t xml:space="preserve">текущего налога на прибыль — по данным декларации по налогу на прибыль. Начисление и погашение отложенного налога производится с применением счета </w:t>
      </w:r>
      <w:r>
        <w:rPr>
          <w:rFonts w:eastAsia="Times New Roman" w:cs="Times New Roman"/>
          <w:spacing w:val="-2"/>
        </w:rPr>
        <w:lastRenderedPageBreak/>
        <w:t>99. Постоянный налоговый расход (доход) определяется расчетным методом в общей сумме, без определения постоянных разниц.</w:t>
      </w:r>
    </w:p>
    <w:p w14:paraId="4355093C" w14:textId="77777777" w:rsidR="00F7240A" w:rsidRPr="007954D9" w:rsidRDefault="00F7240A" w:rsidP="00F7240A">
      <w:pPr>
        <w:pStyle w:val="a0"/>
        <w:numPr>
          <w:ilvl w:val="0"/>
          <w:numId w:val="43"/>
        </w:numPr>
        <w:jc w:val="center"/>
        <w:rPr>
          <w:b/>
        </w:rPr>
      </w:pPr>
      <w:r w:rsidRPr="007954D9">
        <w:rPr>
          <w:b/>
        </w:rPr>
        <w:t>Не применяются нормы положений по бухгалтерскому учету</w:t>
      </w:r>
    </w:p>
    <w:p w14:paraId="30501C6A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12</w:t>
      </w:r>
      <w:r>
        <w:rPr>
          <w:rFonts w:eastAsia="Times New Roman" w:cs="Times New Roman"/>
          <w:spacing w:val="-2"/>
        </w:rPr>
        <w:t>/2010 "Информация по сегментам".</w:t>
      </w:r>
    </w:p>
    <w:p w14:paraId="0C5ECB47" w14:textId="77777777" w:rsidR="00F7240A" w:rsidRPr="00536C93" w:rsidRDefault="00F7240A" w:rsidP="00F7240A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2BA9222F" w14:textId="77777777" w:rsidR="00F7240A" w:rsidRPr="00561C12" w:rsidRDefault="00F7240A" w:rsidP="00F7240A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Организация представляет годовую бухгалтерскую отчетность по </w:t>
      </w:r>
      <w:r>
        <w:rPr>
          <w:rFonts w:eastAsia="Times New Roman" w:cs="Times New Roman"/>
          <w:spacing w:val="-2"/>
        </w:rPr>
        <w:t xml:space="preserve">полной </w:t>
      </w:r>
      <w:r w:rsidRPr="00561C12">
        <w:rPr>
          <w:rFonts w:eastAsia="Times New Roman" w:cs="Times New Roman"/>
          <w:spacing w:val="-2"/>
        </w:rPr>
        <w:t>форме, предусмотренной в Приложении N 5 Приказа Минфина РФ от 02.07.2010 N 66н.</w:t>
      </w:r>
    </w:p>
    <w:p w14:paraId="1291322E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673EBEAA" w14:textId="77777777" w:rsidR="00F7240A" w:rsidRPr="00760674" w:rsidRDefault="00F7240A" w:rsidP="00F7240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6D25632F" w14:textId="77777777" w:rsidR="00F7240A" w:rsidRPr="00760674" w:rsidRDefault="00F7240A" w:rsidP="00F7240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183D9011" w14:textId="77777777" w:rsidR="00F7240A" w:rsidRPr="00760674" w:rsidRDefault="00F7240A" w:rsidP="00F7240A">
      <w:pPr>
        <w:pStyle w:val="a5"/>
      </w:pPr>
    </w:p>
    <w:p w14:paraId="0A8D89C5" w14:textId="77777777" w:rsidR="003B358A" w:rsidRPr="00760674" w:rsidRDefault="003B358A" w:rsidP="003B358A">
      <w:pPr>
        <w:pStyle w:val="32"/>
        <w:pageBreakBefore/>
        <w:ind w:right="142"/>
      </w:pPr>
      <w:r w:rsidRPr="00760674">
        <w:lastRenderedPageBreak/>
        <w:t>Приложение N 1 Рабочий план счетов</w:t>
      </w:r>
    </w:p>
    <w:p w14:paraId="72EB0CA6" w14:textId="0ADBEA35" w:rsidR="003B358A" w:rsidRPr="003B358A" w:rsidRDefault="003B358A" w:rsidP="003B358A">
      <w:pPr>
        <w:pStyle w:val="a5"/>
        <w:rPr>
          <w:rStyle w:val="af3"/>
          <w:color w:val="auto"/>
          <w:shd w:val="clear" w:color="auto" w:fill="auto"/>
        </w:rPr>
      </w:pPr>
      <w:r w:rsidRPr="003B358A">
        <w:t xml:space="preserve">Ознакомиться с </w:t>
      </w:r>
      <w:hyperlink r:id="rId9" w:history="1">
        <w:r w:rsidRPr="00755A9E">
          <w:rPr>
            <w:rStyle w:val="af9"/>
          </w:rPr>
          <w:t>рабочим планом счетов</w:t>
        </w:r>
      </w:hyperlink>
    </w:p>
    <w:p w14:paraId="3E514473" w14:textId="77777777" w:rsidR="003B358A" w:rsidRPr="00760674" w:rsidRDefault="003B358A" w:rsidP="003B358A">
      <w:pPr>
        <w:pStyle w:val="32"/>
        <w:ind w:right="140"/>
      </w:pPr>
      <w:r w:rsidRPr="00760674">
        <w:t>Приложение N 2 Первичные учетные документы</w:t>
      </w:r>
    </w:p>
    <w:p w14:paraId="4EBBCB44" w14:textId="77777777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1571C13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80E9986" w14:textId="77777777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3B358A">
        <w:rPr>
          <w:rFonts w:eastAsia="Times New Roman" w:cs="Times New Roman"/>
          <w:spacing w:val="-2"/>
        </w:rPr>
        <w:t>Общество применяет следующие первичные</w:t>
      </w:r>
      <w:r w:rsidRPr="00760674">
        <w:rPr>
          <w:rFonts w:eastAsia="Times New Roman" w:cs="Times New Roman"/>
          <w:szCs w:val="26"/>
        </w:rPr>
        <w:t xml:space="preserve"> учетные документы по унифицированным формам: </w:t>
      </w:r>
    </w:p>
    <w:p w14:paraId="73248025" w14:textId="223B010D" w:rsidR="003B358A" w:rsidRPr="00760674" w:rsidRDefault="003B358A" w:rsidP="003B358A">
      <w:pPr>
        <w:pStyle w:val="12"/>
        <w:ind w:left="1134" w:right="140" w:hanging="425"/>
      </w:pPr>
      <w:r w:rsidRPr="00760674">
        <w:t>По учету основных</w:t>
      </w:r>
      <w:r w:rsidR="0026510B"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A54FCCE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0973644C" w14:textId="18DDB7E9" w:rsidR="003B358A" w:rsidRPr="00760674" w:rsidRDefault="003B358A" w:rsidP="003B358A">
      <w:pPr>
        <w:pStyle w:val="12"/>
        <w:ind w:left="1134" w:right="140" w:hanging="425"/>
      </w:pPr>
      <w:r w:rsidRPr="00760674">
        <w:t>По учету ма</w:t>
      </w:r>
      <w:r w:rsidR="0026510B"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2ADB7BF2" w14:textId="56738BCD" w:rsidR="003B358A" w:rsidRPr="00760674" w:rsidRDefault="003B358A" w:rsidP="003B358A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="0026510B">
        <w:t>АО-1, утвержденная П</w:t>
      </w:r>
      <w:r w:rsidRPr="00760674">
        <w:t>остановлением Госкомстата от 01.08.2001 N 55</w:t>
      </w:r>
    </w:p>
    <w:p w14:paraId="412EBF91" w14:textId="5E3B11F5" w:rsidR="003B358A" w:rsidRPr="00760674" w:rsidRDefault="003B358A" w:rsidP="003B358A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</w:t>
      </w:r>
      <w:r w:rsidR="0026510B">
        <w:t>м</w:t>
      </w:r>
      <w:r w:rsidRPr="00760674">
        <w:t xml:space="preserve"> 4 Постановления Правительства от 21.12.2020 N 2200 (Приложение N</w:t>
      </w:r>
      <w:r w:rsidR="0026510B">
        <w:t xml:space="preserve"> </w:t>
      </w:r>
      <w:r w:rsidRPr="00760674">
        <w:t>2);</w:t>
      </w:r>
    </w:p>
    <w:p w14:paraId="3977F08C" w14:textId="0389B359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кассовых </w:t>
      </w:r>
      <w:r w:rsidR="0026510B"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495400A7" w14:textId="6112FB3B" w:rsidR="003B358A" w:rsidRDefault="003B358A" w:rsidP="003B358A">
      <w:pPr>
        <w:pStyle w:val="12"/>
        <w:ind w:left="1134" w:right="140" w:hanging="425"/>
      </w:pPr>
      <w:r w:rsidRPr="00760674">
        <w:t>По отгрузке товаров – форма N</w:t>
      </w:r>
      <w:r w:rsidR="0026510B"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36A9DFAF" w14:textId="2E8DAF68" w:rsidR="003B358A" w:rsidRPr="00760674" w:rsidRDefault="003B358A" w:rsidP="003B358A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 w:rsidR="0026510B">
        <w:t xml:space="preserve">013 N ММВ-20-3/96@ (Приложение </w:t>
      </w:r>
      <w:r w:rsidR="0026510B">
        <w:rPr>
          <w:lang w:val="en-US"/>
        </w:rPr>
        <w:t>N</w:t>
      </w:r>
      <w:r w:rsidR="0026510B">
        <w:t xml:space="preserve"> </w:t>
      </w:r>
      <w:r w:rsidRPr="00E64A40">
        <w:t>1 к приказу)</w:t>
      </w:r>
      <w:r>
        <w:t>;</w:t>
      </w:r>
    </w:p>
    <w:p w14:paraId="2DF70E53" w14:textId="506879B4" w:rsidR="003B358A" w:rsidRPr="00760674" w:rsidRDefault="003B358A" w:rsidP="003B358A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="0026510B">
        <w:t xml:space="preserve"> формы, утвержденные П</w:t>
      </w:r>
      <w:r w:rsidRPr="00760674">
        <w:t>остановлением Госкомстата от 18.08.</w:t>
      </w:r>
      <w:r>
        <w:t>19</w:t>
      </w:r>
      <w:r w:rsidR="0026510B">
        <w:t>98 N 88.</w:t>
      </w:r>
    </w:p>
    <w:p w14:paraId="79ED4025" w14:textId="77777777" w:rsidR="003B358A" w:rsidRPr="00760674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DC2BBE9" w14:textId="3D7BB3E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</w:t>
      </w:r>
      <w:r w:rsidR="0026510B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самостоятельно разработанными формам</w:t>
      </w:r>
      <w:r w:rsidR="0026510B"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52AFA5D9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списания материалов – Акт о списании материалов;</w:t>
      </w:r>
    </w:p>
    <w:p w14:paraId="377A4542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учету выполненных работ или услуг – Акт выполненных работ (оказанных услуг)</w:t>
      </w:r>
      <w:r>
        <w:t>;</w:t>
      </w:r>
    </w:p>
    <w:p w14:paraId="68BFBD21" w14:textId="77777777" w:rsidR="003B358A" w:rsidRPr="00760674" w:rsidRDefault="003B358A" w:rsidP="003B358A">
      <w:pPr>
        <w:pStyle w:val="12"/>
        <w:ind w:left="1134" w:right="140" w:hanging="425"/>
      </w:pPr>
      <w:r w:rsidRPr="00760674">
        <w:t>По отражению прочих фактов хозяйственной жизни – Бухгалтерская справка</w:t>
      </w:r>
      <w:r>
        <w:t>.</w:t>
      </w:r>
    </w:p>
    <w:p w14:paraId="1EC7981F" w14:textId="54AF494D" w:rsidR="003B358A" w:rsidRPr="00760674" w:rsidRDefault="003B358A" w:rsidP="003B358A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</w:t>
      </w:r>
      <w:r w:rsidR="0026510B">
        <w:rPr>
          <w:rFonts w:eastAsia="Times New Roman" w:cs="Times New Roman"/>
          <w:szCs w:val="26"/>
        </w:rPr>
        <w:t>,</w:t>
      </w:r>
      <w:r w:rsidRPr="00760674">
        <w:rPr>
          <w:rFonts w:eastAsia="Times New Roman" w:cs="Times New Roman"/>
          <w:szCs w:val="26"/>
        </w:rPr>
        <w:t xml:space="preserve"> являются рекомендованными к применению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6A239DC6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73689DD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F7BB33F" w14:textId="77777777" w:rsidR="003B358A" w:rsidRPr="00760674" w:rsidRDefault="003B358A" w:rsidP="003B358A">
      <w:pPr>
        <w:pStyle w:val="32"/>
        <w:ind w:right="140"/>
      </w:pPr>
      <w:r w:rsidRPr="00760674">
        <w:lastRenderedPageBreak/>
        <w:t>Приложение N 3. Регистры бухгалтерского учета</w:t>
      </w:r>
    </w:p>
    <w:p w14:paraId="17983AA7" w14:textId="77777777" w:rsidR="003B358A" w:rsidRPr="00760674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460EC613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FD1A397" w14:textId="3309C83C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687DA5C7" w14:textId="77777777" w:rsidR="003B358A" w:rsidRPr="00760674" w:rsidRDefault="003B358A" w:rsidP="003B358A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</w:t>
      </w:r>
      <w:proofErr w:type="spellStart"/>
      <w:r w:rsidRPr="00760674">
        <w:t>Оборотно</w:t>
      </w:r>
      <w:proofErr w:type="spellEnd"/>
      <w:r>
        <w:t>-</w:t>
      </w:r>
      <w:r w:rsidRPr="00760674">
        <w:t>сальдовая ведомость</w:t>
      </w:r>
    </w:p>
    <w:p w14:paraId="374DBFE6" w14:textId="77777777" w:rsidR="003B358A" w:rsidRPr="00760674" w:rsidRDefault="003B358A" w:rsidP="003B358A">
      <w:pPr>
        <w:pStyle w:val="12"/>
        <w:ind w:left="1134" w:right="140" w:hanging="425"/>
      </w:pPr>
      <w:r w:rsidRPr="00760674">
        <w:t xml:space="preserve">Для формирования развернутых данных по счету учета - </w:t>
      </w:r>
      <w:proofErr w:type="spellStart"/>
      <w:r w:rsidRPr="00760674">
        <w:t>Оборотно</w:t>
      </w:r>
      <w:proofErr w:type="spellEnd"/>
      <w:r w:rsidRPr="00760674">
        <w:t>-сальдовая ведомость по счету или Анализ счета</w:t>
      </w:r>
    </w:p>
    <w:p w14:paraId="3CC7B704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54C4F3D6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22CB3B5A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69B0A0AB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3810AA12" w14:textId="77777777" w:rsidR="003B358A" w:rsidRPr="00760674" w:rsidRDefault="003B358A" w:rsidP="003B358A">
      <w:pPr>
        <w:pStyle w:val="23"/>
        <w:ind w:right="140"/>
      </w:pPr>
      <w:r w:rsidRPr="00760674">
        <w:t>Учетная политика по НУ</w:t>
      </w:r>
    </w:p>
    <w:p w14:paraId="7259483B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634FB83" w14:textId="77777777" w:rsidR="003B358A" w:rsidRPr="00760674" w:rsidRDefault="003B358A" w:rsidP="003B358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19A1C901" w14:textId="77777777" w:rsidR="003B358A" w:rsidRPr="00760674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6EA8DADE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proofErr w:type="spellStart"/>
      <w:r w:rsidRPr="00760674">
        <w:rPr>
          <w:rFonts w:eastAsia="Times New Roman" w:cs="Times New Roman"/>
        </w:rPr>
        <w:t>г.Москва</w:t>
      </w:r>
      <w:proofErr w:type="spellEnd"/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>31 декабря 202</w:t>
      </w:r>
      <w:r>
        <w:rPr>
          <w:rFonts w:eastAsia="Times New Roman" w:cs="Times New Roman"/>
        </w:rPr>
        <w:t xml:space="preserve">1 </w:t>
      </w:r>
      <w:r w:rsidRPr="00760674">
        <w:rPr>
          <w:rFonts w:eastAsia="Times New Roman" w:cs="Times New Roman"/>
        </w:rPr>
        <w:t>г.</w:t>
      </w:r>
    </w:p>
    <w:p w14:paraId="5EE156A1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05C5528E" w14:textId="77777777" w:rsidR="003B358A" w:rsidRPr="00760674" w:rsidRDefault="003B358A" w:rsidP="003B358A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>
        <w:rPr>
          <w:rFonts w:eastAsia="Times New Roman" w:cs="Times New Roman"/>
          <w:szCs w:val="26"/>
        </w:rPr>
        <w:t>2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7DFCD2EC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6734908F" w14:textId="77777777" w:rsidR="003B358A" w:rsidRPr="00760674" w:rsidRDefault="003B358A" w:rsidP="003B358A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669A9C48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546A6A4B" w14:textId="77777777" w:rsidR="003B358A" w:rsidRPr="00760674" w:rsidRDefault="003B358A" w:rsidP="003B358A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117CADEB" w14:textId="77777777" w:rsidR="003B358A" w:rsidRPr="003B358A" w:rsidRDefault="003B358A" w:rsidP="003B358A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B358A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7728CEB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738EFAC0" w14:textId="77777777" w:rsidR="003B358A" w:rsidRPr="003B358A" w:rsidRDefault="003B358A" w:rsidP="003B358A">
      <w:pPr>
        <w:pStyle w:val="a0"/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</w:rPr>
      </w:pPr>
      <w:r w:rsidRPr="003B358A">
        <w:rPr>
          <w:rFonts w:eastAsia="Times New Roman" w:cs="Times New Roman"/>
          <w:b/>
        </w:rPr>
        <w:t>Налог на прибыль</w:t>
      </w:r>
    </w:p>
    <w:p w14:paraId="4F3681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7911E42F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3E6BC820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не начисляется;</w:t>
      </w:r>
    </w:p>
    <w:p w14:paraId="47E94094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5A5F3625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11AD151E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380FD40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5246BA62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7E691C43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216E2E4D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AF31279" w14:textId="77777777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7A185E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13FDD7E8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оплата труда производственных рабочих (в </w:t>
      </w:r>
      <w:proofErr w:type="spellStart"/>
      <w:r w:rsidRPr="00760674">
        <w:rPr>
          <w:rFonts w:eastAsia="Times New Roman" w:cs="Times New Roman"/>
          <w:spacing w:val="-2"/>
          <w:szCs w:val="26"/>
        </w:rPr>
        <w:t>т.ч</w:t>
      </w:r>
      <w:proofErr w:type="spellEnd"/>
      <w:r w:rsidRPr="00760674">
        <w:rPr>
          <w:rFonts w:eastAsia="Times New Roman" w:cs="Times New Roman"/>
          <w:spacing w:val="-2"/>
          <w:szCs w:val="26"/>
        </w:rPr>
        <w:t>. страховые взносы с зарплаты);</w:t>
      </w:r>
    </w:p>
    <w:p w14:paraId="0C5088DF" w14:textId="77777777" w:rsidR="003B358A" w:rsidRPr="00760674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089F7F39" w14:textId="77777777" w:rsidR="003B358A" w:rsidRPr="00A90B2C" w:rsidRDefault="003B358A" w:rsidP="003B358A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69E067A0" w14:textId="3764A4D2" w:rsidR="003B358A" w:rsidRPr="00760674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</w:t>
      </w:r>
      <w:r w:rsidR="0026510B">
        <w:rPr>
          <w:rFonts w:eastAsia="Times New Roman" w:cs="Times New Roman"/>
          <w:spacing w:val="-2"/>
          <w:szCs w:val="26"/>
        </w:rPr>
        <w:t>ию (работ, услуг).</w:t>
      </w:r>
    </w:p>
    <w:p w14:paraId="60F44E9F" w14:textId="3B5F747F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</w:t>
      </w:r>
      <w:r w:rsidRPr="00760674">
        <w:rPr>
          <w:rFonts w:eastAsia="Times New Roman" w:cs="Times New Roman"/>
          <w:spacing w:val="-2"/>
          <w:szCs w:val="26"/>
        </w:rPr>
        <w:lastRenderedPageBreak/>
        <w:t>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="0026510B">
        <w:rPr>
          <w:rFonts w:eastAsia="Times New Roman" w:cs="Times New Roman"/>
          <w:spacing w:val="-2"/>
          <w:szCs w:val="26"/>
        </w:rPr>
        <w:t xml:space="preserve"> суммы прямых расходов за месяц.</w:t>
      </w:r>
    </w:p>
    <w:p w14:paraId="17792060" w14:textId="400B1866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</w:t>
      </w:r>
      <w:r w:rsidR="0026510B">
        <w:rPr>
          <w:rFonts w:eastAsia="Times New Roman" w:cs="Times New Roman"/>
          <w:spacing w:val="-2"/>
          <w:szCs w:val="26"/>
        </w:rPr>
        <w:t>на выполнение конкретной работы.</w:t>
      </w:r>
    </w:p>
    <w:p w14:paraId="1CDBCAF5" w14:textId="3B3E9665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</w:t>
      </w:r>
      <w:r w:rsidR="0026510B">
        <w:rPr>
          <w:rFonts w:eastAsia="Times New Roman" w:cs="Times New Roman"/>
          <w:szCs w:val="26"/>
        </w:rPr>
        <w:t>ньшают доходы отчетного периода.</w:t>
      </w:r>
    </w:p>
    <w:p w14:paraId="3705E8CE" w14:textId="77777777" w:rsidR="003B358A" w:rsidRPr="007523AD" w:rsidRDefault="003B358A" w:rsidP="003B358A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78C0EB78" w14:textId="77777777" w:rsidR="003B358A" w:rsidRPr="007523AD" w:rsidRDefault="003B358A" w:rsidP="003B358A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1C16431F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1D19BEBA" w14:textId="77777777" w:rsidR="003B358A" w:rsidRPr="007523AD" w:rsidRDefault="003B358A" w:rsidP="003B358A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7FB69D7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1BC3CB67" w14:textId="77777777" w:rsidR="003B358A" w:rsidRPr="007523AD" w:rsidRDefault="003B358A" w:rsidP="003B358A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415EFAEC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73CCF4AA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18D32229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76D230DE" w14:textId="77777777" w:rsidR="003B358A" w:rsidRPr="007523AD" w:rsidRDefault="003B358A" w:rsidP="003B358A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052C5C2" wp14:editId="62797C91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BAC4" w14:textId="0067AE79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226EF6CD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15FEEB38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F928787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>ВНеобл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63662B1F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Вобщ- общая выручка без НДС</w:t>
      </w:r>
      <w:r>
        <w:rPr>
          <w:rFonts w:eastAsia="Times New Roman" w:cs="Times New Roman"/>
          <w:szCs w:val="26"/>
        </w:rPr>
        <w:t>;</w:t>
      </w:r>
    </w:p>
    <w:p w14:paraId="61911F73" w14:textId="77777777" w:rsidR="003B358A" w:rsidRPr="007523AD" w:rsidRDefault="003B358A" w:rsidP="003B358A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17705ACB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4C57D352" w14:textId="77777777" w:rsidR="003B358A" w:rsidRPr="007523AD" w:rsidRDefault="003B358A" w:rsidP="003B358A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77777777" w:rsidR="00C9305E" w:rsidRPr="003523BB" w:rsidRDefault="00C9305E" w:rsidP="003B358A">
      <w:pPr>
        <w:ind w:right="140"/>
      </w:pPr>
    </w:p>
    <w:sectPr w:rsidR="00C9305E" w:rsidRPr="003523BB" w:rsidSect="00A8678E">
      <w:headerReference w:type="default" r:id="rId11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4684" w14:textId="77777777" w:rsidR="00B45318" w:rsidRDefault="00B45318" w:rsidP="00F1648E">
      <w:pPr>
        <w:spacing w:before="0" w:after="0"/>
      </w:pPr>
      <w:r>
        <w:separator/>
      </w:r>
    </w:p>
  </w:endnote>
  <w:endnote w:type="continuationSeparator" w:id="0">
    <w:p w14:paraId="39B7D09B" w14:textId="77777777" w:rsidR="00B45318" w:rsidRDefault="00B45318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DADB" w14:textId="77777777" w:rsidR="00B45318" w:rsidRDefault="00B45318" w:rsidP="00F1648E">
      <w:pPr>
        <w:spacing w:before="0" w:after="0"/>
      </w:pPr>
      <w:r>
        <w:separator/>
      </w:r>
    </w:p>
  </w:footnote>
  <w:footnote w:type="continuationSeparator" w:id="0">
    <w:p w14:paraId="3E4A84B9" w14:textId="77777777" w:rsidR="00B45318" w:rsidRDefault="00B45318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BE0713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BE0713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62" w:type="dxa"/>
          <w:vAlign w:val="center"/>
        </w:tcPr>
        <w:p w14:paraId="5718C534" w14:textId="14F72D8D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910A19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12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62F7B71"/>
    <w:multiLevelType w:val="hybridMultilevel"/>
    <w:tmpl w:val="C55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FF9"/>
    <w:multiLevelType w:val="multilevel"/>
    <w:tmpl w:val="8200B6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5D1394"/>
    <w:multiLevelType w:val="multilevel"/>
    <w:tmpl w:val="CCA8FE44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37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5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7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75F85"/>
    <w:multiLevelType w:val="hybridMultilevel"/>
    <w:tmpl w:val="C7A82E5A"/>
    <w:lvl w:ilvl="0" w:tplc="BC6AAD3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44B39"/>
    <w:multiLevelType w:val="hybridMultilevel"/>
    <w:tmpl w:val="8356FFBA"/>
    <w:lvl w:ilvl="0" w:tplc="3C12103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6C82838"/>
    <w:multiLevelType w:val="multilevel"/>
    <w:tmpl w:val="A95016EE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87106"/>
    <w:multiLevelType w:val="hybridMultilevel"/>
    <w:tmpl w:val="8202E6C8"/>
    <w:lvl w:ilvl="0" w:tplc="716EFD72">
      <w:start w:val="1"/>
      <w:numFmt w:val="decimal"/>
      <w:lvlText w:val="%1."/>
      <w:lvlJc w:val="left"/>
      <w:pPr>
        <w:ind w:left="720" w:hanging="1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40"/>
  </w:num>
  <w:num w:numId="4">
    <w:abstractNumId w:val="30"/>
  </w:num>
  <w:num w:numId="5">
    <w:abstractNumId w:val="16"/>
  </w:num>
  <w:num w:numId="6">
    <w:abstractNumId w:val="29"/>
  </w:num>
  <w:num w:numId="7">
    <w:abstractNumId w:val="11"/>
  </w:num>
  <w:num w:numId="8">
    <w:abstractNumId w:val="32"/>
  </w:num>
  <w:num w:numId="9">
    <w:abstractNumId w:val="39"/>
  </w:num>
  <w:num w:numId="10">
    <w:abstractNumId w:val="8"/>
  </w:num>
  <w:num w:numId="11">
    <w:abstractNumId w:val="1"/>
  </w:num>
  <w:num w:numId="12">
    <w:abstractNumId w:val="43"/>
  </w:num>
  <w:num w:numId="13">
    <w:abstractNumId w:val="23"/>
  </w:num>
  <w:num w:numId="14">
    <w:abstractNumId w:val="15"/>
  </w:num>
  <w:num w:numId="15">
    <w:abstractNumId w:val="7"/>
  </w:num>
  <w:num w:numId="16">
    <w:abstractNumId w:val="41"/>
  </w:num>
  <w:num w:numId="17">
    <w:abstractNumId w:val="17"/>
  </w:num>
  <w:num w:numId="18">
    <w:abstractNumId w:val="13"/>
  </w:num>
  <w:num w:numId="19">
    <w:abstractNumId w:val="25"/>
  </w:num>
  <w:num w:numId="20">
    <w:abstractNumId w:val="6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18"/>
  </w:num>
  <w:num w:numId="26">
    <w:abstractNumId w:val="19"/>
  </w:num>
  <w:num w:numId="27">
    <w:abstractNumId w:val="36"/>
  </w:num>
  <w:num w:numId="28">
    <w:abstractNumId w:val="35"/>
  </w:num>
  <w:num w:numId="29">
    <w:abstractNumId w:val="38"/>
  </w:num>
  <w:num w:numId="30">
    <w:abstractNumId w:val="12"/>
  </w:num>
  <w:num w:numId="31">
    <w:abstractNumId w:val="31"/>
  </w:num>
  <w:num w:numId="32">
    <w:abstractNumId w:val="33"/>
  </w:num>
  <w:num w:numId="33">
    <w:abstractNumId w:val="24"/>
  </w:num>
  <w:num w:numId="34">
    <w:abstractNumId w:val="26"/>
  </w:num>
  <w:num w:numId="35">
    <w:abstractNumId w:val="22"/>
  </w:num>
  <w:num w:numId="36">
    <w:abstractNumId w:val="7"/>
    <w:lvlOverride w:ilvl="0">
      <w:startOverride w:val="1"/>
    </w:lvlOverride>
  </w:num>
  <w:num w:numId="37">
    <w:abstractNumId w:val="20"/>
  </w:num>
  <w:num w:numId="38">
    <w:abstractNumId w:val="27"/>
  </w:num>
  <w:num w:numId="39">
    <w:abstractNumId w:val="42"/>
  </w:num>
  <w:num w:numId="40">
    <w:abstractNumId w:val="37"/>
  </w:num>
  <w:num w:numId="41">
    <w:abstractNumId w:val="21"/>
  </w:num>
  <w:num w:numId="42">
    <w:abstractNumId w:val="28"/>
  </w:num>
  <w:num w:numId="43">
    <w:abstractNumId w:val="9"/>
  </w:num>
  <w:num w:numId="44">
    <w:abstractNumId w:val="30"/>
  </w:num>
  <w:num w:numId="45">
    <w:abstractNumId w:val="30"/>
  </w:num>
  <w:num w:numId="46">
    <w:abstractNumId w:val="30"/>
  </w:num>
  <w:num w:numId="47">
    <w:abstractNumId w:val="3"/>
  </w:num>
  <w:num w:numId="4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3306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122F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1C8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4BFE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07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510B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B0D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07B9D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23BB"/>
    <w:rsid w:val="0035335D"/>
    <w:rsid w:val="00354E3E"/>
    <w:rsid w:val="003626D7"/>
    <w:rsid w:val="00364470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358A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0134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2A91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55A9E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469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780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0A19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02D1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2CE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3B2C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318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71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A51BE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3EAB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0E2F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240A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358A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3B358A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3B358A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3B358A"/>
    <w:rPr>
      <w:rFonts w:ascii="Arial Narrow" w:hAnsi="Arial Narrow"/>
      <w:b/>
      <w:sz w:val="26"/>
      <w:szCs w:val="26"/>
      <w:shd w:val="clear" w:color="auto" w:fill="ED7D31" w:themeFill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buhexpert8.ru/wp-content/uploads/2018/03/Rabochij-plan-schetov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D7BBB-E77E-4D65-9C25-5EDB5A6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11</cp:revision>
  <cp:lastPrinted>2022-04-05T06:49:00Z</cp:lastPrinted>
  <dcterms:created xsi:type="dcterms:W3CDTF">2022-02-11T09:47:00Z</dcterms:created>
  <dcterms:modified xsi:type="dcterms:W3CDTF">2023-02-22T17:03:00Z</dcterms:modified>
</cp:coreProperties>
</file>