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A0" w:rsidRDefault="00A90F3E">
      <w:pPr>
        <w:rPr>
          <w:rFonts w:ascii="Arial" w:hAnsi="Arial" w:cs="Arial"/>
          <w:color w:val="405965"/>
        </w:rPr>
      </w:pPr>
      <w:r w:rsidRPr="00C80CF8">
        <w:rPr>
          <w:rFonts w:ascii="Arial" w:hAnsi="Arial" w:cs="Arial"/>
          <w:b/>
          <w:color w:val="405965"/>
          <w:u w:val="single"/>
        </w:rPr>
        <w:t>С 01.01.2019</w:t>
      </w:r>
      <w:r>
        <w:rPr>
          <w:rFonts w:ascii="Arial" w:hAnsi="Arial" w:cs="Arial"/>
          <w:color w:val="405965"/>
        </w:rPr>
        <w:t xml:space="preserve"> уплата налога и авансовых платежей такими лицами должна производиться в полном объеме, за исключением случаев применения иных налоговых льгот. В региональном Законе «О транспортном налоге в Кировской области» внесены изменения в части уточнения налоговых льгот для отдельных категорий налогоплательщиков. В отношении сельскохозяйственных товаропроизводителей </w:t>
      </w:r>
      <w:r w:rsidRPr="00C80CF8">
        <w:rPr>
          <w:rFonts w:ascii="Arial" w:hAnsi="Arial" w:cs="Arial"/>
          <w:b/>
          <w:color w:val="405965"/>
          <w:u w:val="single"/>
        </w:rPr>
        <w:t>полное освобождение от уплаты транспортного налога заменено снижением налоговой ставки на 50%.</w:t>
      </w:r>
      <w:r>
        <w:rPr>
          <w:rFonts w:ascii="Arial" w:hAnsi="Arial" w:cs="Arial"/>
          <w:color w:val="405965"/>
        </w:rPr>
        <w:t xml:space="preserve"> </w:t>
      </w:r>
    </w:p>
    <w:p w:rsidR="00C80CF8" w:rsidRDefault="00C80CF8">
      <w:r>
        <w:rPr>
          <w:noProof/>
          <w:lang w:eastAsia="ru-RU"/>
        </w:rPr>
        <w:drawing>
          <wp:inline distT="0" distB="0" distL="0" distR="0" wp14:anchorId="79AC7881" wp14:editId="63AAAE02">
            <wp:extent cx="5940425" cy="32427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3E"/>
    <w:rsid w:val="00145BA0"/>
    <w:rsid w:val="00A90F3E"/>
    <w:rsid w:val="00C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2019-03-18T10:32:00Z</dcterms:created>
  <dcterms:modified xsi:type="dcterms:W3CDTF">2019-03-18T10:32:00Z</dcterms:modified>
</cp:coreProperties>
</file>